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206" w:rsidRDefault="00A42206" w:rsidP="00A42206">
      <w:pPr>
        <w:pStyle w:val="Heading4"/>
        <w:spacing w:before="20" w:after="20"/>
        <w:rPr>
          <w:color w:val="000000"/>
          <w:sz w:val="24"/>
        </w:rPr>
      </w:pPr>
      <w:bookmarkStart w:id="0" w:name="_Toc256001284"/>
      <w:r>
        <w:rPr>
          <w:noProof/>
          <w:color w:val="000000"/>
          <w:sz w:val="24"/>
        </w:rPr>
        <w:t>II.Г.7 - Запазването на духовния и културния живот на населението в селските райони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7168"/>
      </w:tblGrid>
      <w:tr w:rsidR="00A42206" w:rsidTr="007D1796">
        <w:trPr>
          <w:trHeight w:val="160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206" w:rsidRDefault="00183D24" w:rsidP="007D1796">
            <w:pPr>
              <w:spacing w:before="20" w:after="20"/>
              <w:rPr>
                <w:color w:val="000000"/>
                <w:sz w:val="20"/>
              </w:rPr>
            </w:pPr>
            <w:r w:rsidRPr="00183D24">
              <w:rPr>
                <w:noProof/>
                <w:color w:val="000000"/>
                <w:sz w:val="20"/>
              </w:rPr>
              <w:t>Код на интервенцията (държава членка)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II.Г.7</w:t>
            </w:r>
          </w:p>
        </w:tc>
      </w:tr>
      <w:tr w:rsidR="00A42206" w:rsidTr="007D1796">
        <w:trPr>
          <w:trHeight w:val="16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Име на интервенцията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Запазването на духовния и културния живот на населението в селските райони</w:t>
            </w:r>
          </w:p>
        </w:tc>
      </w:tr>
      <w:tr w:rsidR="00A42206" w:rsidTr="007D1796">
        <w:trPr>
          <w:trHeight w:val="16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Вид интервенция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INVEST(73-74) - Investments, including investments in irrigation</w:t>
            </w:r>
          </w:p>
        </w:tc>
      </w:tr>
      <w:tr w:rsidR="00A42206" w:rsidTr="007D1796">
        <w:trPr>
          <w:trHeight w:val="16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Общ показател за крайния продукт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O.22. Number of supported infrastructures investment operations or units</w:t>
            </w:r>
          </w:p>
        </w:tc>
      </w:tr>
      <w:tr w:rsidR="00A42206" w:rsidTr="007D1796">
        <w:trPr>
          <w:trHeight w:val="16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Contributing to ringfencing requirement for/on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Приемственост между поколенията: Не</w:t>
            </w:r>
          </w:p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Околна среда: Не</w:t>
            </w:r>
          </w:p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ES rebate system: </w:t>
            </w:r>
          </w:p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Подход LEADER: Не</w:t>
            </w:r>
          </w:p>
        </w:tc>
      </w:tr>
    </w:tbl>
    <w:p w:rsidR="00A42206" w:rsidRDefault="00A42206" w:rsidP="00A42206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1" w:name="_Toc256001285"/>
      <w:r>
        <w:rPr>
          <w:b w:val="0"/>
          <w:i w:val="0"/>
          <w:noProof/>
          <w:color w:val="000000"/>
          <w:sz w:val="24"/>
        </w:rPr>
        <w:t>1 Territorial scope and, if relevant, regional dimension</w:t>
      </w:r>
      <w:bookmarkEnd w:id="1"/>
    </w:p>
    <w:p w:rsidR="00A42206" w:rsidRDefault="00A42206" w:rsidP="00A42206">
      <w:pPr>
        <w:spacing w:before="20" w:after="20"/>
        <w:rPr>
          <w:color w:val="000000"/>
          <w:sz w:val="0"/>
        </w:rPr>
      </w:pPr>
      <w:r>
        <w:rPr>
          <w:noProof/>
          <w:color w:val="000000"/>
        </w:rPr>
        <w:t xml:space="preserve">Териториално приложение: </w:t>
      </w:r>
      <w:r>
        <w:rPr>
          <w:b/>
          <w:noProof/>
          <w:color w:val="000000"/>
        </w:rPr>
        <w:t>Национално равнище</w:t>
      </w:r>
    </w:p>
    <w:p w:rsidR="00A42206" w:rsidRDefault="00A42206" w:rsidP="00A42206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7168"/>
      </w:tblGrid>
      <w:tr w:rsidR="00A42206" w:rsidTr="007D1796">
        <w:trPr>
          <w:trHeight w:val="160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206" w:rsidRDefault="00A42206" w:rsidP="007D1796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Описание</w:t>
            </w:r>
          </w:p>
        </w:tc>
      </w:tr>
      <w:tr w:rsidR="00A42206" w:rsidTr="007D1796">
        <w:trPr>
          <w:trHeight w:val="16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BG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България </w:t>
            </w:r>
          </w:p>
        </w:tc>
      </w:tr>
    </w:tbl>
    <w:p w:rsidR="00A42206" w:rsidRDefault="00A42206" w:rsidP="00A42206">
      <w:pPr>
        <w:spacing w:before="20" w:after="20"/>
        <w:rPr>
          <w:color w:val="000000"/>
        </w:rPr>
      </w:pPr>
      <w:r>
        <w:rPr>
          <w:noProof/>
          <w:color w:val="000000"/>
        </w:rPr>
        <w:t>Описание на териториалното приложение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A42206" w:rsidTr="007D1796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42206" w:rsidRDefault="00A42206" w:rsidP="007D1796">
            <w:pPr>
              <w:spacing w:before="40" w:after="40"/>
            </w:pPr>
            <w:r>
              <w:rPr>
                <w:noProof/>
                <w:color w:val="212121"/>
                <w:shd w:val="clear" w:color="auto" w:fill="FFFFFF"/>
              </w:rPr>
              <w:t>Интервенцията ще се прилага на територията на селските райони на Република България</w:t>
            </w:r>
          </w:p>
        </w:tc>
      </w:tr>
    </w:tbl>
    <w:p w:rsidR="00A42206" w:rsidRDefault="00A42206" w:rsidP="00A42206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2" w:name="_Toc256001286"/>
      <w:r>
        <w:rPr>
          <w:b w:val="0"/>
          <w:i w:val="0"/>
          <w:noProof/>
          <w:color w:val="000000"/>
          <w:sz w:val="24"/>
        </w:rPr>
        <w:t xml:space="preserve">2 </w:t>
      </w:r>
      <w:bookmarkEnd w:id="2"/>
      <w:r w:rsidR="00183D24" w:rsidRPr="00183D24">
        <w:rPr>
          <w:b w:val="0"/>
          <w:i w:val="0"/>
          <w:noProof/>
          <w:color w:val="000000"/>
          <w:sz w:val="24"/>
        </w:rPr>
        <w:t>Свързани специфични цели, междусекторна цел и уместни секторни цели</w:t>
      </w:r>
    </w:p>
    <w:p w:rsidR="00A42206" w:rsidRDefault="00A42206" w:rsidP="00A42206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A42206" w:rsidTr="007D1796">
        <w:trPr>
          <w:trHeight w:val="16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 на СПЕЦИФИЧНАТА ЦЕЛ НА ОСП + описание</w:t>
            </w:r>
            <w:r>
              <w:rPr>
                <w:noProof/>
                <w:color w:val="000000"/>
                <w:sz w:val="20"/>
              </w:rPr>
              <w:t xml:space="preserve"> Препоръчителните специфични цели на ОСП за този вид интервенция са обозначени с получер шрифт</w:t>
            </w:r>
          </w:p>
        </w:tc>
      </w:tr>
      <w:tr w:rsidR="00A42206" w:rsidTr="007D1796">
        <w:trPr>
          <w:trHeight w:val="16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42206" w:rsidRDefault="00183D24" w:rsidP="00281D9A">
            <w:pPr>
              <w:spacing w:before="20" w:after="20"/>
              <w:rPr>
                <w:color w:val="000000"/>
                <w:sz w:val="20"/>
              </w:rPr>
            </w:pPr>
            <w:r w:rsidRPr="00183D24">
              <w:rPr>
                <w:noProof/>
                <w:color w:val="000000"/>
                <w:sz w:val="20"/>
              </w:rPr>
              <w:t>SO8 Популяризиране на заетостта, растежа, равенството между половете, включително и участието на жени в селското</w:t>
            </w:r>
            <w:r w:rsidR="00281D9A">
              <w:rPr>
                <w:noProof/>
                <w:color w:val="000000"/>
                <w:sz w:val="20"/>
                <w:lang w:val="bg-BG"/>
              </w:rPr>
              <w:t xml:space="preserve"> </w:t>
            </w:r>
            <w:r w:rsidRPr="00183D24">
              <w:rPr>
                <w:noProof/>
                <w:color w:val="000000"/>
                <w:sz w:val="20"/>
              </w:rPr>
              <w:t>стопанство, социално приобщаване и местно развитие в селските райони, включително кръговата биоикономика и</w:t>
            </w:r>
            <w:r w:rsidR="00281D9A">
              <w:rPr>
                <w:noProof/>
                <w:color w:val="000000"/>
                <w:sz w:val="20"/>
                <w:lang w:val="bg-BG"/>
              </w:rPr>
              <w:t xml:space="preserve"> </w:t>
            </w:r>
            <w:r w:rsidRPr="00183D24">
              <w:rPr>
                <w:noProof/>
                <w:color w:val="000000"/>
                <w:sz w:val="20"/>
              </w:rPr>
              <w:t>устойчивото управление на горите</w:t>
            </w:r>
          </w:p>
        </w:tc>
      </w:tr>
    </w:tbl>
    <w:p w:rsidR="00A42206" w:rsidRDefault="00A42206" w:rsidP="00A42206">
      <w:pPr>
        <w:spacing w:before="20" w:after="20"/>
        <w:rPr>
          <w:color w:val="000000"/>
          <w:sz w:val="0"/>
        </w:rPr>
      </w:pPr>
    </w:p>
    <w:p w:rsidR="00A42206" w:rsidRDefault="00A42206" w:rsidP="00A42206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3" w:name="_Toc256001287"/>
      <w:r>
        <w:rPr>
          <w:b w:val="0"/>
          <w:i w:val="0"/>
          <w:noProof/>
          <w:color w:val="000000"/>
          <w:sz w:val="24"/>
        </w:rPr>
        <w:t xml:space="preserve">3 </w:t>
      </w:r>
      <w:bookmarkEnd w:id="3"/>
      <w:r w:rsidR="00183D24" w:rsidRPr="00183D24">
        <w:rPr>
          <w:b w:val="0"/>
          <w:i w:val="0"/>
          <w:noProof/>
          <w:color w:val="000000"/>
          <w:sz w:val="24"/>
        </w:rPr>
        <w:t>Потребности, обхванати от интервенцията</w:t>
      </w:r>
    </w:p>
    <w:p w:rsidR="00A42206" w:rsidRDefault="00A42206" w:rsidP="00A42206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2692"/>
        <w:gridCol w:w="3051"/>
        <w:gridCol w:w="2826"/>
      </w:tblGrid>
      <w:tr w:rsidR="00A42206" w:rsidTr="007D1796">
        <w:trPr>
          <w:trHeight w:val="16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42206" w:rsidRDefault="00A42206" w:rsidP="007D1796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42206" w:rsidRDefault="00A42206" w:rsidP="007D1796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Описание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42206" w:rsidRDefault="00A42206" w:rsidP="007D1796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Определяне на приоритети на равнище стратегическия план по ОСП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Разгледана в стратегически план по ОСП</w:t>
            </w:r>
          </w:p>
        </w:tc>
      </w:tr>
      <w:tr w:rsidR="00A42206" w:rsidTr="007D1796">
        <w:trPr>
          <w:trHeight w:val="16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П.8.4.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Подобряване на обектите за развитие на традициите и на културно-историческите обекти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Висок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Да</w:t>
            </w:r>
          </w:p>
        </w:tc>
      </w:tr>
    </w:tbl>
    <w:p w:rsidR="00A42206" w:rsidRDefault="00A42206" w:rsidP="00A42206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4" w:name="_Toc256001288"/>
      <w:r>
        <w:rPr>
          <w:b w:val="0"/>
          <w:i w:val="0"/>
          <w:noProof/>
          <w:color w:val="000000"/>
          <w:sz w:val="24"/>
        </w:rPr>
        <w:t xml:space="preserve">4 </w:t>
      </w:r>
      <w:bookmarkEnd w:id="4"/>
      <w:r w:rsidR="00183D24" w:rsidRPr="00183D24">
        <w:rPr>
          <w:b w:val="0"/>
          <w:i w:val="0"/>
          <w:noProof/>
          <w:color w:val="000000"/>
          <w:sz w:val="24"/>
        </w:rPr>
        <w:t>Показател(и) за резултатите</w:t>
      </w:r>
    </w:p>
    <w:p w:rsidR="00A42206" w:rsidRDefault="00A42206" w:rsidP="00A42206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A42206" w:rsidTr="007D1796">
        <w:trPr>
          <w:trHeight w:val="16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 на ПОКАЗАТЕЛИТЕ ЗА РЕЗУЛТАТИТЕ + описание</w:t>
            </w:r>
            <w:r>
              <w:rPr>
                <w:noProof/>
                <w:color w:val="000000"/>
                <w:sz w:val="20"/>
              </w:rPr>
              <w:t xml:space="preserve"> Препоръчителните показатели за резултатите за избраните специфични цели на ОСП за тази интервенция са обозначени с получер шрифт</w:t>
            </w:r>
          </w:p>
        </w:tc>
      </w:tr>
      <w:tr w:rsidR="00A42206" w:rsidTr="007D1796">
        <w:trPr>
          <w:trHeight w:val="16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R.41 Дял на населението в селските райони, ползващо се от подобрен достъп до услуги и инфраструктура чрез подпомагане по ОСП</w:t>
            </w:r>
          </w:p>
        </w:tc>
      </w:tr>
    </w:tbl>
    <w:p w:rsidR="00183D24" w:rsidRPr="00183D24" w:rsidRDefault="00A42206" w:rsidP="00183D24">
      <w:pPr>
        <w:spacing w:before="20" w:after="20"/>
        <w:rPr>
          <w:bCs/>
          <w:iCs/>
          <w:noProof/>
          <w:color w:val="000000"/>
          <w:szCs w:val="26"/>
        </w:rPr>
      </w:pPr>
      <w:bookmarkStart w:id="5" w:name="_Toc256001289"/>
      <w:r>
        <w:rPr>
          <w:noProof/>
          <w:color w:val="000000"/>
        </w:rPr>
        <w:t xml:space="preserve">5 </w:t>
      </w:r>
      <w:bookmarkEnd w:id="5"/>
      <w:r w:rsidR="00183D24" w:rsidRPr="00183D24">
        <w:rPr>
          <w:bCs/>
          <w:iCs/>
          <w:noProof/>
          <w:color w:val="000000"/>
          <w:szCs w:val="26"/>
        </w:rPr>
        <w:t xml:space="preserve"> Конкретен план, изисквания и условия за допустимост на интервенцията</w:t>
      </w:r>
    </w:p>
    <w:p w:rsidR="00183D24" w:rsidRPr="00183D24" w:rsidRDefault="00183D24" w:rsidP="00183D24">
      <w:pPr>
        <w:spacing w:before="20" w:after="20"/>
        <w:rPr>
          <w:bCs/>
          <w:iCs/>
          <w:noProof/>
          <w:color w:val="000000"/>
          <w:szCs w:val="26"/>
        </w:rPr>
      </w:pPr>
      <w:r w:rsidRPr="00183D24">
        <w:rPr>
          <w:bCs/>
          <w:iCs/>
          <w:noProof/>
          <w:color w:val="000000"/>
          <w:szCs w:val="26"/>
        </w:rPr>
        <w:t>Опишете какви са специфичните цели и съдържанието на интервенцията, включително</w:t>
      </w:r>
    </w:p>
    <w:p w:rsidR="00183D24" w:rsidRPr="00183D24" w:rsidRDefault="00183D24" w:rsidP="00183D24">
      <w:pPr>
        <w:spacing w:before="20" w:after="20"/>
        <w:rPr>
          <w:bCs/>
          <w:iCs/>
          <w:noProof/>
          <w:color w:val="000000"/>
          <w:szCs w:val="26"/>
        </w:rPr>
      </w:pPr>
      <w:r w:rsidRPr="00183D24">
        <w:rPr>
          <w:bCs/>
          <w:iCs/>
          <w:noProof/>
          <w:color w:val="000000"/>
          <w:szCs w:val="26"/>
        </w:rPr>
        <w:t>специфично насочване, принципи за избор, връзки към съответното законодателство, взаимно</w:t>
      </w:r>
    </w:p>
    <w:p w:rsidR="00183D24" w:rsidRPr="00183D24" w:rsidRDefault="00183D24" w:rsidP="00183D24">
      <w:pPr>
        <w:spacing w:before="20" w:after="20"/>
        <w:rPr>
          <w:bCs/>
          <w:iCs/>
          <w:noProof/>
          <w:color w:val="000000"/>
          <w:szCs w:val="26"/>
        </w:rPr>
      </w:pPr>
      <w:r w:rsidRPr="00183D24">
        <w:rPr>
          <w:bCs/>
          <w:iCs/>
          <w:noProof/>
          <w:color w:val="000000"/>
          <w:szCs w:val="26"/>
        </w:rPr>
        <w:t>допълване с други интервенции/набори от операции в двата стълба и друга релевантна</w:t>
      </w:r>
    </w:p>
    <w:p w:rsidR="00A42206" w:rsidRDefault="00183D24" w:rsidP="00183D24">
      <w:pPr>
        <w:spacing w:before="20" w:after="20"/>
        <w:rPr>
          <w:color w:val="000000"/>
        </w:rPr>
      </w:pPr>
      <w:r w:rsidRPr="00183D24">
        <w:rPr>
          <w:bCs/>
          <w:iCs/>
          <w:noProof/>
          <w:color w:val="000000"/>
          <w:szCs w:val="26"/>
        </w:rPr>
        <w:t>информация.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A42206" w:rsidTr="00281D9A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83D24" w:rsidRPr="00281D9A" w:rsidRDefault="00183D24" w:rsidP="00281D9A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281D9A">
              <w:rPr>
                <w:bCs/>
                <w:noProof/>
                <w:color w:val="000000"/>
              </w:rPr>
              <w:t>Културно-духовното развитие е фактор за подобряване на качеството на живота в селските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райони, намаляване на миграцията на хора, опазване на културното наследство и традиции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в тези райони. България е страна с богато културно, историческо и духовно наследство. В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селските райони, средища за развитие на културната духовност са храмовете (църкви и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джамии) и манастири. Характерно за страната е, че много голяма част от тези обекти - духовни храмове и манастири са обявени за паметници на културата от местно, национално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или световно значение. В тази връзка и културно-историческото развитие на България се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обуславя до голяма степен от богатото културно наследство, което се запазва и съхранява в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тези обекти с религиозно значение.</w:t>
            </w:r>
          </w:p>
          <w:p w:rsidR="00183D24" w:rsidRPr="00281D9A" w:rsidRDefault="00183D24" w:rsidP="00281D9A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281D9A">
              <w:rPr>
                <w:bCs/>
                <w:noProof/>
                <w:color w:val="000000"/>
              </w:rPr>
              <w:t>Анализът за прилагането на инвестиции в обекти с религиозно значение през предходните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програмни периоди, показва че реалните нужди значително надвишават разполагаемите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бюджети, като това води до достигането на средства за незначителен процент обекти.</w:t>
            </w:r>
          </w:p>
          <w:p w:rsidR="00183D24" w:rsidRPr="00281D9A" w:rsidRDefault="00183D24" w:rsidP="00281D9A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281D9A">
              <w:rPr>
                <w:bCs/>
                <w:noProof/>
                <w:color w:val="000000"/>
              </w:rPr>
              <w:lastRenderedPageBreak/>
              <w:t>В Бългаpия има 8000 цъpкви и манаcтиpи и 1400 джамии, като всички храмове в страната са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9800. На територията на страната има 131 броя манастири, от които 78 броя са разположени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в селските райони и 53 броя в градски райони.</w:t>
            </w:r>
          </w:p>
          <w:p w:rsidR="00183D24" w:rsidRPr="00281D9A" w:rsidRDefault="00183D24" w:rsidP="00281D9A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281D9A">
              <w:rPr>
                <w:bCs/>
                <w:noProof/>
                <w:color w:val="000000"/>
              </w:rPr>
              <w:t>Въпреки че през програмните периоди на прилагане на Програмата за развитие на селските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райони - 2007 - 2013 г. и 2014 – 2020 г., се предоставяше подпомагане за възстановяване,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реставрация, ремонт и/или реконструкция на сгради с религиозно значение, все още голяма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част от тях са в незадоволително или лошо състояние.</w:t>
            </w:r>
          </w:p>
          <w:p w:rsidR="00183D24" w:rsidRPr="00281D9A" w:rsidRDefault="00183D24" w:rsidP="00281D9A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281D9A">
              <w:rPr>
                <w:bCs/>
                <w:noProof/>
                <w:color w:val="000000"/>
              </w:rPr>
              <w:t>За периода 2007-2013 г. от прилагането на ПРСР е осигурено подпомагнене за 178 храма, а за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периода на прилагане на ПРСР 2014-2020, средства са осигурени за 89 храма, което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представлява едва 2,73% от всички в страната.</w:t>
            </w:r>
          </w:p>
          <w:p w:rsidR="00183D24" w:rsidRPr="00281D9A" w:rsidRDefault="00183D24" w:rsidP="00281D9A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281D9A">
              <w:rPr>
                <w:bCs/>
                <w:noProof/>
                <w:color w:val="000000"/>
              </w:rPr>
              <w:t>Основните цели на интервенцията, отново ще са насочени към запазването на духовния и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културния живот на населението чрез възстановяване, реставрация, ремонт и/или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реконструкция на сгради с религиозно значение, което до голяма степен ще допринесе за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запазвенето на културната идентичност и традиции в селските райони и повишаване на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качеството на живот на хората, живеещи в тях.</w:t>
            </w:r>
          </w:p>
          <w:p w:rsidR="00183D24" w:rsidRPr="00281D9A" w:rsidRDefault="00183D24" w:rsidP="00281D9A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281D9A">
              <w:rPr>
                <w:bCs/>
                <w:noProof/>
                <w:color w:val="000000"/>
              </w:rPr>
              <w:t>Принципите при определянето на критериите за подбор ще се базират на:</w:t>
            </w:r>
          </w:p>
          <w:p w:rsidR="00183D24" w:rsidRPr="00281D9A" w:rsidRDefault="00183D24" w:rsidP="00281D9A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281D9A">
              <w:rPr>
                <w:bCs/>
                <w:noProof/>
                <w:color w:val="000000"/>
              </w:rPr>
              <w:t>• Брой население, което ще се възползва от допустимите дейности;</w:t>
            </w:r>
          </w:p>
          <w:p w:rsidR="00183D24" w:rsidRPr="00281D9A" w:rsidRDefault="00183D24" w:rsidP="00281D9A">
            <w:pPr>
              <w:spacing w:before="40" w:after="40"/>
              <w:jc w:val="both"/>
              <w:rPr>
                <w:bCs/>
                <w:noProof/>
                <w:color w:val="000000"/>
                <w:lang w:val="bg-BG"/>
              </w:rPr>
            </w:pPr>
            <w:r w:rsidRPr="00281D9A">
              <w:rPr>
                <w:bCs/>
                <w:noProof/>
                <w:color w:val="000000"/>
              </w:rPr>
              <w:t>• Проекти с включени инвестиции според културната и обществената значимост на</w:t>
            </w:r>
            <w:r w:rsidR="007D1796" w:rsidRPr="00281D9A">
              <w:rPr>
                <w:bCs/>
                <w:noProof/>
                <w:color w:val="000000"/>
                <w:lang w:val="bg-BG"/>
              </w:rPr>
              <w:t xml:space="preserve"> о</w:t>
            </w:r>
            <w:r w:rsidRPr="00281D9A">
              <w:rPr>
                <w:bCs/>
                <w:noProof/>
                <w:color w:val="000000"/>
              </w:rPr>
              <w:t>бекта</w:t>
            </w:r>
            <w:r w:rsidR="007D1796" w:rsidRPr="00281D9A">
              <w:rPr>
                <w:bCs/>
                <w:noProof/>
                <w:color w:val="000000"/>
                <w:lang w:val="bg-BG"/>
              </w:rPr>
              <w:t>.</w:t>
            </w:r>
          </w:p>
          <w:p w:rsidR="00183D24" w:rsidRPr="00281D9A" w:rsidRDefault="00183D24" w:rsidP="00281D9A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281D9A">
              <w:rPr>
                <w:bCs/>
                <w:noProof/>
                <w:color w:val="000000"/>
              </w:rPr>
              <w:t>Ще се финансират проекти, които при оценката получават минимален брой точки съгласно</w:t>
            </w:r>
          </w:p>
          <w:p w:rsidR="00183D24" w:rsidRPr="00281D9A" w:rsidRDefault="00183D24" w:rsidP="00281D9A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281D9A">
              <w:rPr>
                <w:bCs/>
                <w:noProof/>
                <w:color w:val="000000"/>
              </w:rPr>
              <w:t>решение на КН.</w:t>
            </w:r>
          </w:p>
          <w:p w:rsidR="00183D24" w:rsidRPr="00281D9A" w:rsidRDefault="00183D24" w:rsidP="00281D9A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281D9A">
              <w:rPr>
                <w:bCs/>
                <w:noProof/>
                <w:color w:val="000000"/>
              </w:rPr>
              <w:t>С оглед ефективното насочване на средства в дейности за запазването на духовния и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културния живот на населението в селските райони, могат да бъдат определяни максимални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размери на допустимите разходи за едно проектно предложение в зависимост от вида на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подпомаганите дейности в обхвата на настоящата интервенция.</w:t>
            </w:r>
          </w:p>
          <w:p w:rsidR="00A42206" w:rsidRDefault="00183D24" w:rsidP="00281D9A">
            <w:pPr>
              <w:spacing w:before="40" w:after="40"/>
              <w:jc w:val="both"/>
              <w:rPr>
                <w:b/>
                <w:bCs/>
                <w:noProof/>
                <w:color w:val="000000"/>
              </w:rPr>
            </w:pPr>
            <w:r w:rsidRPr="00281D9A">
              <w:rPr>
                <w:bCs/>
                <w:noProof/>
                <w:color w:val="000000"/>
              </w:rPr>
              <w:t>Определените максимални стойности на допустимите разходи ще са в диапазона от левовата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равностойност на 200 000 Евро до левовата равностойност на 400 000 Евро според вида и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мащаба на подпомаганите обекти. Определянето на максимално допустимите разходи за едно</w:t>
            </w:r>
            <w:r w:rsidR="007D1796" w:rsidRP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проектно предложение, ще се базира както от размера и мащаба на подпомагания обект, така</w:t>
            </w:r>
            <w:r w:rsidR="007D1796" w:rsidRP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и от натрупания опит от прилагането на предходните програмни периода за подобни и/или</w:t>
            </w:r>
            <w:r w:rsidR="007D1796" w:rsidRPr="00281D9A">
              <w:rPr>
                <w:bCs/>
                <w:noProof/>
                <w:color w:val="000000"/>
                <w:lang w:val="bg-BG"/>
              </w:rPr>
              <w:t xml:space="preserve"> </w:t>
            </w:r>
            <w:r w:rsidRPr="00281D9A">
              <w:rPr>
                <w:bCs/>
                <w:noProof/>
                <w:color w:val="000000"/>
              </w:rPr>
              <w:t>аналогични дейности.</w:t>
            </w:r>
          </w:p>
          <w:p w:rsidR="00522DBC" w:rsidRPr="00F94818" w:rsidRDefault="00522DBC" w:rsidP="003C63D0">
            <w:pPr>
              <w:spacing w:before="40" w:after="40"/>
              <w:jc w:val="both"/>
              <w:rPr>
                <w:lang w:val="bg-BG"/>
              </w:rPr>
            </w:pPr>
            <w:r w:rsidRPr="00281D9A">
              <w:rPr>
                <w:color w:val="FF0000"/>
                <w:lang w:val="bg-BG"/>
              </w:rPr>
              <w:t xml:space="preserve">С цел по-ефективно </w:t>
            </w:r>
            <w:r w:rsidR="007D1796" w:rsidRPr="00281D9A">
              <w:rPr>
                <w:color w:val="FF0000"/>
                <w:lang w:val="bg-BG"/>
              </w:rPr>
              <w:t>насочване на финансовата помощ</w:t>
            </w:r>
            <w:r w:rsidRPr="00281D9A">
              <w:rPr>
                <w:color w:val="FF0000"/>
                <w:lang w:val="bg-BG"/>
              </w:rPr>
              <w:t xml:space="preserve"> Управляващият орган, след консултации с Комитета по наблюдение, може да ограничава вида на допустимите дейности или кандидати, </w:t>
            </w:r>
            <w:r w:rsidR="002E1184" w:rsidRPr="00281D9A">
              <w:rPr>
                <w:color w:val="FF0000"/>
                <w:lang w:val="bg-BG"/>
              </w:rPr>
              <w:t>и</w:t>
            </w:r>
            <w:r w:rsidR="008D4178">
              <w:rPr>
                <w:color w:val="FF0000"/>
                <w:lang w:val="bg-BG"/>
              </w:rPr>
              <w:t>/или</w:t>
            </w:r>
            <w:r w:rsidR="002E1184" w:rsidRPr="00281D9A">
              <w:rPr>
                <w:color w:val="FF0000"/>
                <w:lang w:val="bg-BG"/>
              </w:rPr>
              <w:t xml:space="preserve"> </w:t>
            </w:r>
            <w:r w:rsidRPr="00281D9A">
              <w:rPr>
                <w:color w:val="FF0000"/>
                <w:lang w:val="bg-BG"/>
              </w:rPr>
              <w:t xml:space="preserve">да определя целеви бюджети и/или приеми </w:t>
            </w:r>
            <w:r w:rsidR="003C63D0">
              <w:rPr>
                <w:color w:val="FF0000"/>
                <w:lang w:val="bg-BG"/>
              </w:rPr>
              <w:t xml:space="preserve">в зависимост от </w:t>
            </w:r>
            <w:r w:rsidR="007D1796" w:rsidRPr="00281D9A">
              <w:rPr>
                <w:color w:val="FF0000"/>
                <w:lang w:val="bg-BG"/>
              </w:rPr>
              <w:t xml:space="preserve">вида на </w:t>
            </w:r>
            <w:r w:rsidR="003C63D0">
              <w:rPr>
                <w:color w:val="FF0000"/>
                <w:lang w:val="bg-BG"/>
              </w:rPr>
              <w:t xml:space="preserve">допустимите </w:t>
            </w:r>
            <w:r w:rsidR="007D1796" w:rsidRPr="00281D9A">
              <w:rPr>
                <w:color w:val="FF0000"/>
                <w:lang w:val="bg-BG"/>
              </w:rPr>
              <w:t>кандидати.</w:t>
            </w:r>
            <w:r w:rsidR="007D1796">
              <w:rPr>
                <w:lang w:val="bg-BG"/>
              </w:rPr>
              <w:t xml:space="preserve"> </w:t>
            </w:r>
          </w:p>
        </w:tc>
      </w:tr>
    </w:tbl>
    <w:p w:rsidR="00183D24" w:rsidRPr="00183D24" w:rsidRDefault="00183D24" w:rsidP="00183D24">
      <w:pPr>
        <w:spacing w:before="20" w:after="20"/>
        <w:rPr>
          <w:noProof/>
          <w:color w:val="000000"/>
        </w:rPr>
      </w:pPr>
      <w:r w:rsidRPr="00183D24">
        <w:rPr>
          <w:noProof/>
          <w:color w:val="000000"/>
        </w:rPr>
        <w:lastRenderedPageBreak/>
        <w:t>Определете бенефициерите, отговарящи на критериите, както и специфичните критерии за</w:t>
      </w:r>
    </w:p>
    <w:p w:rsidR="00A42206" w:rsidRDefault="00183D24" w:rsidP="00183D24">
      <w:pPr>
        <w:spacing w:before="20" w:after="20"/>
        <w:rPr>
          <w:color w:val="000000"/>
        </w:rPr>
      </w:pPr>
      <w:r w:rsidRPr="00183D24">
        <w:rPr>
          <w:noProof/>
          <w:color w:val="000000"/>
        </w:rPr>
        <w:t>допустимост, когато е приложимо за бенефициерите и площта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A42206" w:rsidTr="007D1796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42206" w:rsidRPr="00281D9A" w:rsidRDefault="00A42206" w:rsidP="00F11ACE">
            <w:pPr>
              <w:spacing w:before="40" w:after="40"/>
              <w:jc w:val="both"/>
              <w:rPr>
                <w:color w:val="FF0000"/>
              </w:rPr>
            </w:pPr>
            <w:r w:rsidRPr="00281D9A">
              <w:rPr>
                <w:noProof/>
                <w:color w:val="FF0000"/>
              </w:rPr>
              <w:t>По настоящата интервенция допустими кандидати са</w:t>
            </w:r>
            <w:r w:rsidR="007D1796" w:rsidRPr="00281D9A">
              <w:rPr>
                <w:noProof/>
                <w:color w:val="FF0000"/>
                <w:lang w:val="bg-BG"/>
              </w:rPr>
              <w:t>:</w:t>
            </w:r>
            <w:r w:rsidRPr="00281D9A">
              <w:rPr>
                <w:noProof/>
                <w:color w:val="FF0000"/>
              </w:rPr>
              <w:t xml:space="preserve"> </w:t>
            </w:r>
          </w:p>
          <w:p w:rsidR="002E6E71" w:rsidRPr="009D0B6B" w:rsidRDefault="00F11ACE" w:rsidP="00F11ACE">
            <w:pPr>
              <w:spacing w:before="40" w:after="40"/>
              <w:jc w:val="both"/>
              <w:rPr>
                <w:color w:val="FF0000"/>
                <w:lang w:val="bg-BG"/>
              </w:rPr>
            </w:pPr>
            <w:r w:rsidRPr="009D0B6B">
              <w:rPr>
                <w:noProof/>
                <w:color w:val="FF0000"/>
                <w:lang w:val="bg-BG"/>
              </w:rPr>
              <w:t xml:space="preserve">1. </w:t>
            </w:r>
            <w:r w:rsidR="00183D24" w:rsidRPr="009D0B6B">
              <w:rPr>
                <w:noProof/>
                <w:color w:val="FF0000"/>
              </w:rPr>
              <w:t>Религиозни общности, регистрирани като юридически лица съгласно чл. 15, ал. 1 от Закона за вероизповеданията (ЗВ)</w:t>
            </w:r>
            <w:r w:rsidRPr="009D0B6B">
              <w:rPr>
                <w:noProof/>
                <w:color w:val="FF0000"/>
                <w:lang w:val="bg-BG"/>
              </w:rPr>
              <w:t xml:space="preserve"> и</w:t>
            </w:r>
            <w:r w:rsidR="009D0B6B" w:rsidRPr="009D0B6B">
              <w:rPr>
                <w:noProof/>
                <w:color w:val="FF0000"/>
                <w:lang w:val="bg-BG"/>
              </w:rPr>
              <w:t xml:space="preserve"> </w:t>
            </w:r>
            <w:r w:rsidR="00357BCD" w:rsidRPr="009D0B6B">
              <w:rPr>
                <w:noProof/>
                <w:color w:val="FF0000"/>
                <w:lang w:val="bg-BG"/>
              </w:rPr>
              <w:t xml:space="preserve">притежаващи храмове/молитвени домове в </w:t>
            </w:r>
            <w:r w:rsidRPr="009D0B6B">
              <w:rPr>
                <w:noProof/>
                <w:color w:val="FF0000"/>
                <w:lang w:val="bg-BG"/>
              </w:rPr>
              <w:t>поне</w:t>
            </w:r>
            <w:r w:rsidR="00357BCD" w:rsidRPr="009D0B6B">
              <w:rPr>
                <w:noProof/>
                <w:color w:val="FF0000"/>
                <w:lang w:val="bg-BG"/>
              </w:rPr>
              <w:t xml:space="preserve"> </w:t>
            </w:r>
            <w:r w:rsidR="009D0B6B" w:rsidRPr="009D0B6B">
              <w:rPr>
                <w:noProof/>
                <w:color w:val="FF0000"/>
                <w:lang w:val="bg-BG"/>
              </w:rPr>
              <w:t>100</w:t>
            </w:r>
            <w:r w:rsidRPr="009D0B6B">
              <w:rPr>
                <w:noProof/>
                <w:color w:val="FF0000"/>
                <w:lang w:val="bg-BG"/>
              </w:rPr>
              <w:t xml:space="preserve"> </w:t>
            </w:r>
            <w:r w:rsidR="00357BCD" w:rsidRPr="009D0B6B">
              <w:rPr>
                <w:noProof/>
                <w:color w:val="FF0000"/>
                <w:lang w:val="bg-BG"/>
              </w:rPr>
              <w:t>общини</w:t>
            </w:r>
            <w:r w:rsidRPr="009D0B6B">
              <w:rPr>
                <w:noProof/>
                <w:color w:val="FF0000"/>
                <w:lang w:val="bg-BG"/>
              </w:rPr>
              <w:t xml:space="preserve"> на територията на с</w:t>
            </w:r>
            <w:r w:rsidR="00357BCD" w:rsidRPr="009D0B6B">
              <w:rPr>
                <w:noProof/>
                <w:color w:val="FF0000"/>
                <w:lang w:val="bg-BG"/>
              </w:rPr>
              <w:t>елски</w:t>
            </w:r>
            <w:r w:rsidRPr="009D0B6B">
              <w:rPr>
                <w:noProof/>
                <w:color w:val="FF0000"/>
                <w:lang w:val="bg-BG"/>
              </w:rPr>
              <w:t>те</w:t>
            </w:r>
            <w:r w:rsidR="00357BCD" w:rsidRPr="009D0B6B">
              <w:rPr>
                <w:noProof/>
                <w:color w:val="FF0000"/>
                <w:lang w:val="bg-BG"/>
              </w:rPr>
              <w:t xml:space="preserve"> </w:t>
            </w:r>
            <w:r w:rsidRPr="009D0B6B">
              <w:rPr>
                <w:noProof/>
                <w:color w:val="FF0000"/>
                <w:lang w:val="bg-BG"/>
              </w:rPr>
              <w:t xml:space="preserve">райони на страната, </w:t>
            </w:r>
            <w:r w:rsidR="002E6E71" w:rsidRPr="009D0B6B">
              <w:rPr>
                <w:noProof/>
                <w:color w:val="FF0000"/>
                <w:lang w:val="bg-BG"/>
              </w:rPr>
              <w:t>съгласно регистъра</w:t>
            </w:r>
            <w:r w:rsidR="002E6E71" w:rsidRPr="009D0B6B">
              <w:rPr>
                <w:color w:val="FF0000"/>
              </w:rPr>
              <w:t xml:space="preserve"> </w:t>
            </w:r>
            <w:r w:rsidR="002E6E71" w:rsidRPr="009D0B6B">
              <w:rPr>
                <w:color w:val="FF0000"/>
                <w:lang w:val="bg-BG"/>
              </w:rPr>
              <w:t>по чл. 12, ал. 3 от ЗВ</w:t>
            </w:r>
            <w:r w:rsidRPr="009D0B6B">
              <w:rPr>
                <w:color w:val="FF0000"/>
                <w:lang w:val="bg-BG"/>
              </w:rPr>
              <w:t>;</w:t>
            </w:r>
          </w:p>
          <w:p w:rsidR="00183D24" w:rsidRPr="00281D9A" w:rsidRDefault="00183D24" w:rsidP="00F11ACE">
            <w:pPr>
              <w:spacing w:before="40" w:after="40"/>
              <w:jc w:val="both"/>
              <w:rPr>
                <w:noProof/>
                <w:color w:val="FF0000"/>
              </w:rPr>
            </w:pPr>
            <w:r w:rsidRPr="00281D9A">
              <w:rPr>
                <w:noProof/>
                <w:color w:val="FF0000"/>
              </w:rPr>
              <w:t>2. Местни поделения на вероизповеданията, които следва да са:</w:t>
            </w:r>
            <w:bookmarkStart w:id="6" w:name="_GoBack"/>
            <w:bookmarkEnd w:id="6"/>
          </w:p>
          <w:p w:rsidR="00183D24" w:rsidRPr="00281D9A" w:rsidRDefault="00183D24" w:rsidP="00F11ACE">
            <w:pPr>
              <w:spacing w:before="40" w:after="40"/>
              <w:jc w:val="both"/>
              <w:rPr>
                <w:noProof/>
                <w:color w:val="FF0000"/>
              </w:rPr>
            </w:pPr>
            <w:r w:rsidRPr="00281D9A">
              <w:rPr>
                <w:noProof/>
                <w:color w:val="FF0000"/>
              </w:rPr>
              <w:t>-       Признати за юридически лица по силата на чл. 10 от ЗВ или</w:t>
            </w:r>
          </w:p>
          <w:p w:rsidR="00A42206" w:rsidRDefault="00183D24" w:rsidP="00F11ACE">
            <w:pPr>
              <w:spacing w:before="40" w:after="40"/>
              <w:jc w:val="both"/>
            </w:pPr>
            <w:r w:rsidRPr="00281D9A">
              <w:rPr>
                <w:noProof/>
                <w:color w:val="FF0000"/>
              </w:rPr>
              <w:t>-       Регистрирани като юридически лица съгласно чл. 20 от ЗВ.</w:t>
            </w:r>
          </w:p>
        </w:tc>
      </w:tr>
    </w:tbl>
    <w:p w:rsidR="00A42206" w:rsidRDefault="00A42206" w:rsidP="00A42206">
      <w:pPr>
        <w:spacing w:before="20" w:after="20"/>
        <w:rPr>
          <w:color w:val="000000"/>
        </w:rPr>
      </w:pPr>
      <w:r>
        <w:rPr>
          <w:noProof/>
          <w:color w:val="000000"/>
        </w:rPr>
        <w:t>Define eligible type of support (non-IACS) or commitments (IACS) and other obligations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A42206" w:rsidTr="007D1796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83D24" w:rsidRPr="00183D24" w:rsidRDefault="00183D24" w:rsidP="003C63D0">
            <w:pPr>
              <w:spacing w:before="40" w:after="40"/>
              <w:jc w:val="both"/>
              <w:rPr>
                <w:b/>
                <w:bCs/>
                <w:noProof/>
                <w:color w:val="000000"/>
              </w:rPr>
            </w:pPr>
            <w:r w:rsidRPr="00183D24">
              <w:rPr>
                <w:b/>
                <w:bCs/>
                <w:noProof/>
                <w:color w:val="000000"/>
              </w:rPr>
              <w:t>Тип подкрепа: Безвъзмездни средства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/>
                <w:bCs/>
                <w:noProof/>
                <w:color w:val="000000"/>
              </w:rPr>
            </w:pPr>
            <w:r w:rsidRPr="00183D24">
              <w:rPr>
                <w:b/>
                <w:bCs/>
                <w:noProof/>
                <w:color w:val="000000"/>
              </w:rPr>
              <w:t>I. Инвестициите допустими за подпомагане в рамките на интервенцията трябва да са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/>
                <w:bCs/>
                <w:noProof/>
                <w:color w:val="000000"/>
              </w:rPr>
            </w:pPr>
            <w:r w:rsidRPr="00183D24">
              <w:rPr>
                <w:b/>
                <w:bCs/>
                <w:noProof/>
                <w:color w:val="000000"/>
              </w:rPr>
              <w:t>свързани с възстановяване, реставрация, ремонт или реконструкция на сгради с религиозно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/>
                <w:bCs/>
                <w:noProof/>
                <w:color w:val="000000"/>
              </w:rPr>
            </w:pPr>
            <w:r w:rsidRPr="00183D24">
              <w:rPr>
                <w:b/>
                <w:bCs/>
                <w:noProof/>
                <w:color w:val="000000"/>
              </w:rPr>
              <w:t>значение, дейности по вертикалната планировка и подобряване на прилежащите</w:t>
            </w:r>
          </w:p>
          <w:p w:rsidR="00183D24" w:rsidRDefault="00183D24" w:rsidP="003C63D0">
            <w:pPr>
              <w:spacing w:before="40" w:after="40"/>
              <w:jc w:val="both"/>
              <w:rPr>
                <w:b/>
                <w:bCs/>
                <w:noProof/>
                <w:color w:val="000000"/>
              </w:rPr>
            </w:pPr>
            <w:r w:rsidRPr="00183D24">
              <w:rPr>
                <w:b/>
                <w:bCs/>
                <w:noProof/>
                <w:color w:val="000000"/>
              </w:rPr>
              <w:t>пространства, в т.ч. закупуване и доставка на оборудване.</w:t>
            </w:r>
          </w:p>
          <w:p w:rsidR="003C63D0" w:rsidRPr="003C63D0" w:rsidRDefault="003C63D0" w:rsidP="003C63D0">
            <w:pPr>
              <w:spacing w:before="40" w:after="40"/>
              <w:jc w:val="both"/>
              <w:rPr>
                <w:bCs/>
                <w:noProof/>
                <w:color w:val="FF0000"/>
              </w:rPr>
            </w:pPr>
            <w:r w:rsidRPr="003C63D0">
              <w:rPr>
                <w:bCs/>
                <w:noProof/>
                <w:color w:val="FF0000"/>
                <w:lang w:val="bg-BG"/>
              </w:rPr>
              <w:t>По интервенцията са д</w:t>
            </w:r>
            <w:r w:rsidRPr="003C63D0">
              <w:rPr>
                <w:bCs/>
                <w:noProof/>
                <w:color w:val="FF0000"/>
              </w:rPr>
              <w:t xml:space="preserve">опустими </w:t>
            </w:r>
            <w:r w:rsidRPr="003C63D0">
              <w:rPr>
                <w:bCs/>
                <w:noProof/>
                <w:color w:val="FF0000"/>
                <w:lang w:val="bg-BG"/>
              </w:rPr>
              <w:t xml:space="preserve">и </w:t>
            </w:r>
            <w:r w:rsidRPr="003C63D0">
              <w:rPr>
                <w:bCs/>
                <w:noProof/>
                <w:color w:val="FF0000"/>
              </w:rPr>
              <w:t>общи разходи</w:t>
            </w:r>
            <w:r w:rsidRPr="003C63D0">
              <w:rPr>
                <w:bCs/>
                <w:noProof/>
                <w:color w:val="FF0000"/>
                <w:lang w:val="bg-BG"/>
              </w:rPr>
              <w:t>,</w:t>
            </w:r>
            <w:r w:rsidRPr="003C63D0">
              <w:rPr>
                <w:bCs/>
                <w:noProof/>
                <w:color w:val="FF0000"/>
              </w:rPr>
              <w:t xml:space="preserve"> свързани с проекта, извършени както в процеса на подготовка на проекта, така и по време на неговото изпълнение, например хонорари на архитекти, </w:t>
            </w:r>
            <w:r w:rsidRPr="003C63D0">
              <w:rPr>
                <w:bCs/>
                <w:noProof/>
                <w:color w:val="FF0000"/>
              </w:rPr>
              <w:lastRenderedPageBreak/>
              <w:t>инженери, консултанти и др.</w:t>
            </w:r>
            <w:r w:rsidRPr="003C63D0">
              <w:rPr>
                <w:bCs/>
                <w:noProof/>
                <w:color w:val="FF0000"/>
                <w:lang w:val="bg-BG"/>
              </w:rPr>
              <w:t xml:space="preserve"> </w:t>
            </w:r>
            <w:r w:rsidRPr="003C63D0">
              <w:rPr>
                <w:bCs/>
                <w:noProof/>
                <w:color w:val="FF0000"/>
              </w:rPr>
              <w:t>Общите разходи</w:t>
            </w:r>
            <w:r w:rsidRPr="003C63D0">
              <w:rPr>
                <w:bCs/>
                <w:noProof/>
                <w:color w:val="FF0000"/>
                <w:lang w:val="bg-BG"/>
              </w:rPr>
              <w:t>,</w:t>
            </w:r>
            <w:r w:rsidRPr="003C63D0">
              <w:rPr>
                <w:bCs/>
                <w:noProof/>
                <w:color w:val="FF0000"/>
              </w:rPr>
              <w:t xml:space="preserve"> свързани с проекта не трябва да надхвърлят 12 на сто от сумата на инвестиционните разходи по проекта.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/>
                <w:bCs/>
                <w:noProof/>
                <w:color w:val="000000"/>
              </w:rPr>
            </w:pPr>
            <w:r w:rsidRPr="00183D24">
              <w:rPr>
                <w:b/>
                <w:bCs/>
                <w:noProof/>
                <w:color w:val="000000"/>
              </w:rPr>
              <w:t>II. Допустимите дейности трябва да отговарят на следните изисквания: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>Типа подкрепа се запазва същият, както е по подмярка 7.6 Проучвания и инвестиции, свързани с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 xml:space="preserve">поддържане, възстановяване и на културното и природното наследство на селата от ПРСР 2014 – 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>BG 1279 BG2020 г.</w:t>
            </w:r>
          </w:p>
          <w:p w:rsidR="00183D24" w:rsidRPr="00281D9A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  <w:lang w:val="bg-BG"/>
              </w:rPr>
            </w:pPr>
            <w:r w:rsidRPr="00183D24">
              <w:rPr>
                <w:bCs/>
                <w:noProof/>
                <w:color w:val="000000"/>
              </w:rPr>
              <w:t>Вертикалната планировка е прилежащият терен към сградата, а с дейността свързана с</w:t>
            </w:r>
            <w:r w:rsidR="00281D9A">
              <w:rPr>
                <w:bCs/>
                <w:noProof/>
                <w:color w:val="000000"/>
                <w:lang w:val="bg-BG"/>
              </w:rPr>
              <w:t xml:space="preserve"> 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>вертикалната планировка, се осигурява правилното водоотвеждане, терасиране, изграждане на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>подходи към сгради, стъпала и подпорни зидове, както и огради, ако е необходимо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>∙ да се изпълняват на територията на селските райони на РБ, посочени в националното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>законодателство за прилагане на Стратегическия план;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>∙ да се осъществяват извън населени места с развит масов туризъм и курортни комплекси,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 xml:space="preserve">посочени в националното законодателство за прилагане на Стратегическия план </w:t>
            </w:r>
            <w:r w:rsidR="003C63D0" w:rsidRPr="003C63D0">
              <w:rPr>
                <w:bCs/>
                <w:noProof/>
                <w:color w:val="FF0000"/>
              </w:rPr>
              <w:t>(гр. Банско, гр. Несебър,  Ваканционно селище „Елените“, Курортен комплекс „Слънчев бряг“, гр. Приморско, Курортен комплекс „Международен младежки център – Приморско“, гр. Созопол, Ваканционно селище „Дюни“, гр. Балчик, Курортен комплекс „Албена“, Курортен комплекс „Пампорово“, гр. Самоков, Курортен комплекс „Боровец“)</w:t>
            </w:r>
            <w:r w:rsidR="003C63D0">
              <w:rPr>
                <w:bCs/>
                <w:noProof/>
                <w:color w:val="FF0000"/>
                <w:lang w:val="bg-BG"/>
              </w:rPr>
              <w:t xml:space="preserve"> </w:t>
            </w:r>
            <w:r w:rsidR="003C63D0" w:rsidRPr="003C63D0">
              <w:rPr>
                <w:bCs/>
                <w:strike/>
                <w:noProof/>
                <w:color w:val="000000"/>
              </w:rPr>
              <w:t>(Ваканционно</w:t>
            </w:r>
            <w:r w:rsidR="003C63D0">
              <w:rPr>
                <w:bCs/>
                <w:strike/>
                <w:noProof/>
                <w:color w:val="000000"/>
                <w:lang w:val="bg-BG"/>
              </w:rPr>
              <w:t xml:space="preserve"> </w:t>
            </w:r>
            <w:r w:rsidR="003C63D0" w:rsidRPr="003C63D0">
              <w:rPr>
                <w:bCs/>
                <w:strike/>
                <w:noProof/>
                <w:color w:val="000000"/>
              </w:rPr>
              <w:t>селище „Елените“, Курортен комплекс „Слънчев бряг“, Курортен комплекс „Международен</w:t>
            </w:r>
            <w:r w:rsidR="003C63D0">
              <w:rPr>
                <w:bCs/>
                <w:strike/>
                <w:noProof/>
                <w:color w:val="000000"/>
                <w:lang w:val="bg-BG"/>
              </w:rPr>
              <w:t xml:space="preserve"> </w:t>
            </w:r>
            <w:r w:rsidR="003C63D0" w:rsidRPr="003C63D0">
              <w:rPr>
                <w:bCs/>
                <w:strike/>
                <w:noProof/>
                <w:color w:val="000000"/>
              </w:rPr>
              <w:t>младежки център – Приморско“, Курортен комплекс „Албена“, Курортен комплекс „Албена“,</w:t>
            </w:r>
            <w:r w:rsidR="003C63D0">
              <w:rPr>
                <w:bCs/>
                <w:strike/>
                <w:noProof/>
                <w:color w:val="000000"/>
                <w:lang w:val="bg-BG"/>
              </w:rPr>
              <w:t xml:space="preserve"> </w:t>
            </w:r>
            <w:r w:rsidR="003C63D0" w:rsidRPr="003C63D0">
              <w:rPr>
                <w:bCs/>
                <w:strike/>
                <w:noProof/>
                <w:color w:val="000000"/>
              </w:rPr>
              <w:t>Курортен комплекс „Пампорово“, Курортен комплекс „Боровец“, гр. Банско, гр. Несебър, гр.</w:t>
            </w:r>
            <w:r w:rsidR="003C63D0">
              <w:rPr>
                <w:bCs/>
                <w:strike/>
                <w:noProof/>
                <w:color w:val="000000"/>
                <w:lang w:val="bg-BG"/>
              </w:rPr>
              <w:t xml:space="preserve"> </w:t>
            </w:r>
            <w:r w:rsidR="003C63D0" w:rsidRPr="003C63D0">
              <w:rPr>
                <w:bCs/>
                <w:strike/>
                <w:noProof/>
                <w:color w:val="000000"/>
              </w:rPr>
              <w:t>Созопол, гр. Балчик, гр. Самоков, гр. Несебър)</w:t>
            </w:r>
            <w:r w:rsidRPr="00183D24">
              <w:rPr>
                <w:bCs/>
                <w:noProof/>
                <w:color w:val="000000"/>
              </w:rPr>
              <w:t>.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>∙ да се изпълняват в съответствие с общинския план за развитие на съответната община, а ако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>съществува стратегия за местно развитие да са съгласувани и с нея;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>∙ да не оказват отрицателно въздействие върху околната среда съгласно разпоредбите на ЗOOС;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>∙ да се изпълняват съгласно препоръките от извършените оценки, както и условията и мерките в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>съответния административен акт на компетентния орган съгласно ЗООС, ЗЗТ и ЗБР и съответните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>им подзаконови нормативни актове за тяхното прилагане (когато е приложимо);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>∙ за инвестиции в обекти „Паметници на културата“, да са проведени съгласувателните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>процедури по реда на Закона за културното наследство (ЗКН) с Министерството на културата за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>защитените територии за опазване на недвижимото културно наследство.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>∙ дейностите свързани със строително-монтажни работи, следва да бъдат в съответствие с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>приложимото национално законодатвлство в сферата на устройството на територията,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>инвестиционното проектиране и строителството в Република България.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>∙ преди изпълнение на дейности по реставрация на обекти, кандидатите за подпомагане да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>осигуряват обследване за наличие на прилепи. При установяване на екземпляри да бъдат</w:t>
            </w:r>
          </w:p>
          <w:p w:rsidR="00183D24" w:rsidRPr="00183D24" w:rsidRDefault="00183D24" w:rsidP="003C63D0">
            <w:pPr>
              <w:spacing w:before="40" w:after="40"/>
              <w:jc w:val="both"/>
              <w:rPr>
                <w:bCs/>
                <w:noProof/>
                <w:color w:val="000000"/>
              </w:rPr>
            </w:pPr>
            <w:r w:rsidRPr="00183D24">
              <w:rPr>
                <w:bCs/>
                <w:noProof/>
                <w:color w:val="000000"/>
              </w:rPr>
              <w:t>уведомени контролните органи по околна среда, за да бъдат предприети адекватни действия по</w:t>
            </w:r>
          </w:p>
          <w:p w:rsidR="00A42206" w:rsidRDefault="00183D24" w:rsidP="003C63D0">
            <w:pPr>
              <w:spacing w:before="40" w:after="40"/>
              <w:jc w:val="both"/>
            </w:pPr>
            <w:r>
              <w:rPr>
                <w:bCs/>
                <w:noProof/>
                <w:color w:val="000000"/>
              </w:rPr>
              <w:t>тяхна преценка.</w:t>
            </w:r>
          </w:p>
        </w:tc>
      </w:tr>
    </w:tbl>
    <w:p w:rsidR="00F250FC" w:rsidRPr="00F250FC" w:rsidRDefault="00A42206" w:rsidP="00F250FC">
      <w:pPr>
        <w:pStyle w:val="Heading5"/>
        <w:spacing w:before="20" w:after="20"/>
        <w:rPr>
          <w:b w:val="0"/>
          <w:i w:val="0"/>
          <w:noProof/>
          <w:color w:val="000000"/>
          <w:sz w:val="24"/>
        </w:rPr>
      </w:pPr>
      <w:bookmarkStart w:id="7" w:name="_Toc256001290"/>
      <w:r>
        <w:rPr>
          <w:b w:val="0"/>
          <w:i w:val="0"/>
          <w:noProof/>
          <w:color w:val="000000"/>
          <w:sz w:val="24"/>
        </w:rPr>
        <w:lastRenderedPageBreak/>
        <w:t xml:space="preserve">6 </w:t>
      </w:r>
      <w:bookmarkEnd w:id="7"/>
      <w:r w:rsidR="00F250FC" w:rsidRPr="00F250FC">
        <w:rPr>
          <w:b w:val="0"/>
          <w:i w:val="0"/>
          <w:noProof/>
          <w:color w:val="000000"/>
          <w:sz w:val="24"/>
        </w:rPr>
        <w:t>Определяне на уместни базови характеристики</w:t>
      </w:r>
    </w:p>
    <w:p w:rsidR="00F250FC" w:rsidRPr="00F250FC" w:rsidRDefault="00F250FC" w:rsidP="00F250FC">
      <w:pPr>
        <w:pStyle w:val="Heading5"/>
        <w:spacing w:before="20" w:after="20"/>
        <w:rPr>
          <w:b w:val="0"/>
          <w:i w:val="0"/>
          <w:noProof/>
          <w:color w:val="000000"/>
          <w:sz w:val="24"/>
        </w:rPr>
      </w:pPr>
      <w:r w:rsidRPr="00F250FC">
        <w:rPr>
          <w:b w:val="0"/>
          <w:i w:val="0"/>
          <w:noProof/>
          <w:color w:val="000000"/>
          <w:sz w:val="24"/>
        </w:rPr>
        <w:t>(приложими стандарти за ДЗЕС, законоустановени изисквания за управление (ЗИУ) и други</w:t>
      </w:r>
    </w:p>
    <w:p w:rsidR="00F250FC" w:rsidRPr="00F250FC" w:rsidRDefault="00F250FC" w:rsidP="00F250FC">
      <w:pPr>
        <w:pStyle w:val="Heading5"/>
        <w:spacing w:before="20" w:after="20"/>
        <w:rPr>
          <w:b w:val="0"/>
          <w:i w:val="0"/>
          <w:noProof/>
          <w:color w:val="000000"/>
          <w:sz w:val="24"/>
        </w:rPr>
      </w:pPr>
      <w:r w:rsidRPr="00F250FC">
        <w:rPr>
          <w:b w:val="0"/>
          <w:i w:val="0"/>
          <w:noProof/>
          <w:color w:val="000000"/>
          <w:sz w:val="24"/>
        </w:rPr>
        <w:t>задължителни изисквания, установени в националното право и правото на Съюза), когато е</w:t>
      </w:r>
    </w:p>
    <w:p w:rsidR="00F250FC" w:rsidRPr="00F250FC" w:rsidRDefault="00F250FC" w:rsidP="00F250FC">
      <w:pPr>
        <w:pStyle w:val="Heading5"/>
        <w:spacing w:before="20" w:after="20"/>
        <w:rPr>
          <w:b w:val="0"/>
          <w:i w:val="0"/>
          <w:noProof/>
          <w:color w:val="000000"/>
          <w:sz w:val="24"/>
        </w:rPr>
      </w:pPr>
      <w:r w:rsidRPr="00F250FC">
        <w:rPr>
          <w:b w:val="0"/>
          <w:i w:val="0"/>
          <w:noProof/>
          <w:color w:val="000000"/>
          <w:sz w:val="24"/>
        </w:rPr>
        <w:t>приложимо, описание на специфичните уместни задължения съгласно ЗИУ и обяснение как</w:t>
      </w:r>
    </w:p>
    <w:p w:rsidR="00F250FC" w:rsidRPr="00F250FC" w:rsidRDefault="00F250FC" w:rsidP="00F250FC">
      <w:pPr>
        <w:pStyle w:val="Heading5"/>
        <w:spacing w:before="20" w:after="20"/>
        <w:rPr>
          <w:b w:val="0"/>
          <w:i w:val="0"/>
          <w:noProof/>
          <w:color w:val="000000"/>
          <w:sz w:val="24"/>
        </w:rPr>
      </w:pPr>
      <w:r w:rsidRPr="00F250FC">
        <w:rPr>
          <w:b w:val="0"/>
          <w:i w:val="0"/>
          <w:noProof/>
          <w:color w:val="000000"/>
          <w:sz w:val="24"/>
        </w:rPr>
        <w:t xml:space="preserve">ангажиментът надхвърля задължителните изисквания (както е посочено в член 28, параграф 5, </w:t>
      </w:r>
    </w:p>
    <w:p w:rsidR="00F250FC" w:rsidRPr="00F250FC" w:rsidRDefault="00F250FC" w:rsidP="00F250FC">
      <w:pPr>
        <w:pStyle w:val="Heading5"/>
        <w:spacing w:before="20" w:after="20"/>
        <w:rPr>
          <w:b w:val="0"/>
          <w:i w:val="0"/>
          <w:noProof/>
          <w:color w:val="000000"/>
          <w:sz w:val="24"/>
        </w:rPr>
      </w:pPr>
      <w:r w:rsidRPr="00F250FC">
        <w:rPr>
          <w:b w:val="0"/>
          <w:i w:val="0"/>
          <w:noProof/>
          <w:color w:val="000000"/>
          <w:sz w:val="24"/>
        </w:rPr>
        <w:t>член 70, параграф 3 и член 72, параграф 5)</w:t>
      </w:r>
    </w:p>
    <w:p w:rsidR="00F250FC" w:rsidRPr="00F250FC" w:rsidRDefault="00F250FC" w:rsidP="00F250FC">
      <w:pPr>
        <w:pStyle w:val="Heading5"/>
        <w:spacing w:before="20" w:after="20"/>
        <w:rPr>
          <w:b w:val="0"/>
          <w:i w:val="0"/>
          <w:noProof/>
          <w:color w:val="000000"/>
          <w:sz w:val="24"/>
        </w:rPr>
      </w:pPr>
      <w:r w:rsidRPr="00F250FC">
        <w:rPr>
          <w:b w:val="0"/>
          <w:i w:val="0"/>
          <w:noProof/>
          <w:color w:val="000000"/>
          <w:sz w:val="24"/>
        </w:rPr>
        <w:t>Неприложимо</w:t>
      </w:r>
      <w:r w:rsidRPr="00F250FC">
        <w:rPr>
          <w:b w:val="0"/>
          <w:i w:val="0"/>
          <w:noProof/>
          <w:color w:val="000000"/>
          <w:sz w:val="24"/>
        </w:rPr>
        <w:cr/>
      </w:r>
      <w:bookmarkStart w:id="8" w:name="_Toc256001291"/>
      <w:r w:rsidR="00A42206">
        <w:rPr>
          <w:b w:val="0"/>
          <w:i w:val="0"/>
          <w:noProof/>
          <w:color w:val="000000"/>
          <w:sz w:val="24"/>
        </w:rPr>
        <w:t xml:space="preserve">7 </w:t>
      </w:r>
      <w:bookmarkEnd w:id="8"/>
      <w:r w:rsidRPr="00F250FC">
        <w:rPr>
          <w:b w:val="0"/>
          <w:i w:val="0"/>
          <w:noProof/>
          <w:color w:val="000000"/>
          <w:sz w:val="24"/>
        </w:rPr>
        <w:t>Форма и ставка на подпомагане/суми/методи за изчисляване</w:t>
      </w:r>
    </w:p>
    <w:p w:rsidR="00A42206" w:rsidRDefault="00F250FC" w:rsidP="00F250FC">
      <w:pPr>
        <w:pStyle w:val="Heading5"/>
        <w:spacing w:before="20" w:after="20"/>
        <w:rPr>
          <w:color w:val="000000"/>
        </w:rPr>
      </w:pPr>
      <w:r w:rsidRPr="00F250FC">
        <w:rPr>
          <w:b w:val="0"/>
          <w:i w:val="0"/>
          <w:noProof/>
          <w:color w:val="000000"/>
          <w:sz w:val="24"/>
        </w:rPr>
        <w:t>Форма на подкрепа</w:t>
      </w:r>
    </w:p>
    <w:p w:rsidR="00A42206" w:rsidRDefault="00A42206" w:rsidP="00A42206">
      <w:pPr>
        <w:spacing w:before="20" w:after="2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checkBox>
              <w:size w:val="24"/>
              <w:default w:val="1"/>
              <w:checked/>
            </w:checkBox>
          </w:ffData>
        </w:fldChar>
      </w:r>
      <w:r>
        <w:rPr>
          <w:b/>
          <w:noProof/>
          <w:color w:val="000000"/>
        </w:rPr>
        <w:instrText xml:space="preserve"> FORMCHECKBOX </w:instrText>
      </w:r>
      <w:r w:rsidR="009D0B6B">
        <w:rPr>
          <w:b/>
          <w:color w:val="000000"/>
        </w:rPr>
      </w:r>
      <w:r w:rsidR="009D0B6B">
        <w:rPr>
          <w:b/>
          <w:color w:val="000000"/>
        </w:rPr>
        <w:fldChar w:fldCharType="separate"/>
      </w:r>
      <w:r>
        <w:rPr>
          <w:b/>
          <w:color w:val="000000"/>
        </w:rPr>
        <w:fldChar w:fldCharType="end"/>
      </w:r>
      <w:r>
        <w:rPr>
          <w:b/>
          <w:noProof/>
          <w:color w:val="000000"/>
        </w:rPr>
        <w:t xml:space="preserve"> </w:t>
      </w:r>
      <w:r w:rsidR="00F250FC" w:rsidRPr="00F250FC">
        <w:rPr>
          <w:b/>
          <w:noProof/>
          <w:color w:val="000000"/>
        </w:rPr>
        <w:t>Безвъзмездни средства</w:t>
      </w:r>
    </w:p>
    <w:p w:rsidR="00A42206" w:rsidRDefault="00A42206" w:rsidP="00A42206">
      <w:pPr>
        <w:spacing w:before="20" w:after="2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  <w:checked w:val="0"/>
            </w:checkBox>
          </w:ffData>
        </w:fldChar>
      </w:r>
      <w:r>
        <w:rPr>
          <w:b/>
          <w:noProof/>
          <w:color w:val="000000"/>
        </w:rPr>
        <w:instrText xml:space="preserve"> FORMCHECKBOX </w:instrText>
      </w:r>
      <w:r w:rsidR="009D0B6B">
        <w:rPr>
          <w:b/>
          <w:color w:val="000000"/>
        </w:rPr>
      </w:r>
      <w:r w:rsidR="009D0B6B">
        <w:rPr>
          <w:b/>
          <w:color w:val="000000"/>
        </w:rPr>
        <w:fldChar w:fldCharType="separate"/>
      </w:r>
      <w:r>
        <w:rPr>
          <w:b/>
          <w:color w:val="000000"/>
        </w:rPr>
        <w:fldChar w:fldCharType="end"/>
      </w:r>
      <w:r>
        <w:rPr>
          <w:b/>
          <w:noProof/>
          <w:color w:val="000000"/>
        </w:rPr>
        <w:t xml:space="preserve"> </w:t>
      </w:r>
      <w:r w:rsidR="00F250FC" w:rsidRPr="00F250FC">
        <w:rPr>
          <w:b/>
          <w:noProof/>
          <w:color w:val="000000"/>
        </w:rPr>
        <w:t>Финансов инструмент</w:t>
      </w:r>
    </w:p>
    <w:p w:rsidR="00A42206" w:rsidRDefault="00F250FC" w:rsidP="00A42206">
      <w:pPr>
        <w:spacing w:before="20" w:after="20"/>
        <w:rPr>
          <w:color w:val="000000"/>
        </w:rPr>
      </w:pPr>
      <w:r w:rsidRPr="00F250FC">
        <w:rPr>
          <w:noProof/>
          <w:color w:val="000000"/>
        </w:rPr>
        <w:t>Вид на плащането</w:t>
      </w:r>
    </w:p>
    <w:p w:rsidR="00A42206" w:rsidRDefault="00A42206" w:rsidP="00A42206">
      <w:pPr>
        <w:spacing w:before="20" w:after="20"/>
        <w:rPr>
          <w:color w:val="000000"/>
        </w:rPr>
      </w:pPr>
      <w:r>
        <w:rPr>
          <w:color w:val="000000"/>
        </w:rPr>
        <w:fldChar w:fldCharType="begin">
          <w:ffData>
            <w:name w:val="cb_TOPNONIACSA"/>
            <w:enabled/>
            <w:calcOnExit w:val="0"/>
            <w:checkBox>
              <w:size w:val="24"/>
              <w:default w:val="1"/>
              <w:checked/>
            </w:checkBox>
          </w:ffData>
        </w:fldChar>
      </w:r>
      <w:r>
        <w:rPr>
          <w:noProof/>
          <w:color w:val="000000"/>
        </w:rPr>
        <w:instrText xml:space="preserve"> FORMCHECKBOX </w:instrText>
      </w:r>
      <w:r w:rsidR="009D0B6B">
        <w:rPr>
          <w:color w:val="000000"/>
        </w:rPr>
      </w:r>
      <w:r w:rsidR="009D0B6B">
        <w:rPr>
          <w:color w:val="000000"/>
        </w:rPr>
        <w:fldChar w:fldCharType="separate"/>
      </w:r>
      <w:r>
        <w:rPr>
          <w:color w:val="000000"/>
        </w:rPr>
        <w:fldChar w:fldCharType="end"/>
      </w:r>
      <w:r>
        <w:rPr>
          <w:noProof/>
          <w:color w:val="000000"/>
        </w:rPr>
        <w:t xml:space="preserve"> </w:t>
      </w:r>
      <w:r w:rsidR="00F250FC" w:rsidRPr="00F250FC">
        <w:rPr>
          <w:noProof/>
          <w:color w:val="000000"/>
        </w:rPr>
        <w:t>възстановяване на действително направени от бенефициера допустими разходи</w:t>
      </w:r>
    </w:p>
    <w:p w:rsidR="00A42206" w:rsidRDefault="00A42206" w:rsidP="00A42206">
      <w:pPr>
        <w:spacing w:before="20" w:after="20"/>
        <w:rPr>
          <w:color w:val="000000"/>
        </w:rPr>
      </w:pPr>
      <w:r>
        <w:rPr>
          <w:color w:val="000000"/>
        </w:rPr>
        <w:fldChar w:fldCharType="begin">
          <w:ffData>
            <w:name w:val="cb_TOPNONIACSB"/>
            <w:enabled/>
            <w:calcOnExit w:val="0"/>
            <w:checkBox>
              <w:size w:val="24"/>
              <w:default w:val="0"/>
              <w:checked w:val="0"/>
            </w:checkBox>
          </w:ffData>
        </w:fldChar>
      </w:r>
      <w:r>
        <w:rPr>
          <w:noProof/>
          <w:color w:val="000000"/>
        </w:rPr>
        <w:instrText xml:space="preserve"> FORMCHECKBOX </w:instrText>
      </w:r>
      <w:r w:rsidR="009D0B6B">
        <w:rPr>
          <w:color w:val="000000"/>
        </w:rPr>
      </w:r>
      <w:r w:rsidR="009D0B6B">
        <w:rPr>
          <w:color w:val="000000"/>
        </w:rPr>
        <w:fldChar w:fldCharType="separate"/>
      </w:r>
      <w:r>
        <w:rPr>
          <w:color w:val="000000"/>
        </w:rPr>
        <w:fldChar w:fldCharType="end"/>
      </w:r>
      <w:r>
        <w:rPr>
          <w:noProof/>
          <w:color w:val="000000"/>
        </w:rPr>
        <w:t xml:space="preserve"> </w:t>
      </w:r>
      <w:r w:rsidR="00F250FC" w:rsidRPr="00F250FC">
        <w:rPr>
          <w:noProof/>
          <w:color w:val="000000"/>
        </w:rPr>
        <w:t>единични разходи</w:t>
      </w:r>
    </w:p>
    <w:p w:rsidR="00A42206" w:rsidRDefault="00A42206" w:rsidP="00A42206">
      <w:pPr>
        <w:spacing w:before="20" w:after="20"/>
        <w:rPr>
          <w:color w:val="000000"/>
        </w:rPr>
      </w:pPr>
      <w:r>
        <w:rPr>
          <w:color w:val="000000"/>
        </w:rPr>
        <w:lastRenderedPageBreak/>
        <w:fldChar w:fldCharType="begin">
          <w:ffData>
            <w:name w:val="cb_TOPNONIACSC"/>
            <w:enabled/>
            <w:calcOnExit w:val="0"/>
            <w:checkBox>
              <w:size w:val="24"/>
              <w:default w:val="0"/>
              <w:checked w:val="0"/>
            </w:checkBox>
          </w:ffData>
        </w:fldChar>
      </w:r>
      <w:r>
        <w:rPr>
          <w:noProof/>
          <w:color w:val="000000"/>
        </w:rPr>
        <w:instrText xml:space="preserve"> FORMCHECKBOX </w:instrText>
      </w:r>
      <w:r w:rsidR="009D0B6B">
        <w:rPr>
          <w:color w:val="000000"/>
        </w:rPr>
      </w:r>
      <w:r w:rsidR="009D0B6B">
        <w:rPr>
          <w:color w:val="000000"/>
        </w:rPr>
        <w:fldChar w:fldCharType="separate"/>
      </w:r>
      <w:r>
        <w:rPr>
          <w:color w:val="000000"/>
        </w:rPr>
        <w:fldChar w:fldCharType="end"/>
      </w:r>
      <w:r>
        <w:rPr>
          <w:noProof/>
          <w:color w:val="000000"/>
        </w:rPr>
        <w:t xml:space="preserve"> </w:t>
      </w:r>
      <w:r w:rsidR="00F250FC" w:rsidRPr="00F250FC">
        <w:rPr>
          <w:noProof/>
          <w:color w:val="000000"/>
        </w:rPr>
        <w:t>еднократни суми</w:t>
      </w:r>
    </w:p>
    <w:p w:rsidR="00A42206" w:rsidRDefault="00A42206" w:rsidP="00A42206">
      <w:pPr>
        <w:spacing w:before="20" w:after="20"/>
        <w:rPr>
          <w:color w:val="000000"/>
        </w:rPr>
      </w:pPr>
      <w:r>
        <w:rPr>
          <w:color w:val="000000"/>
        </w:rPr>
        <w:fldChar w:fldCharType="begin">
          <w:ffData>
            <w:name w:val="cb_TOPNONIACSD"/>
            <w:enabled/>
            <w:calcOnExit w:val="0"/>
            <w:checkBox>
              <w:size w:val="24"/>
              <w:default w:val="0"/>
              <w:checked w:val="0"/>
            </w:checkBox>
          </w:ffData>
        </w:fldChar>
      </w:r>
      <w:r>
        <w:rPr>
          <w:noProof/>
          <w:color w:val="000000"/>
        </w:rPr>
        <w:instrText xml:space="preserve"> FORMCHECKBOX </w:instrText>
      </w:r>
      <w:r w:rsidR="009D0B6B">
        <w:rPr>
          <w:color w:val="000000"/>
        </w:rPr>
      </w:r>
      <w:r w:rsidR="009D0B6B">
        <w:rPr>
          <w:color w:val="000000"/>
        </w:rPr>
        <w:fldChar w:fldCharType="separate"/>
      </w:r>
      <w:r>
        <w:rPr>
          <w:color w:val="000000"/>
        </w:rPr>
        <w:fldChar w:fldCharType="end"/>
      </w:r>
      <w:r>
        <w:rPr>
          <w:noProof/>
          <w:color w:val="000000"/>
        </w:rPr>
        <w:t xml:space="preserve"> </w:t>
      </w:r>
      <w:r w:rsidR="00F250FC" w:rsidRPr="00F250FC">
        <w:rPr>
          <w:noProof/>
          <w:color w:val="000000"/>
        </w:rPr>
        <w:t>финансиране с единна ставка</w:t>
      </w:r>
    </w:p>
    <w:p w:rsidR="00A42206" w:rsidRDefault="00421AB0" w:rsidP="00A42206">
      <w:pPr>
        <w:spacing w:before="20" w:after="20"/>
        <w:rPr>
          <w:color w:val="000000"/>
        </w:rPr>
      </w:pPr>
      <w:r w:rsidRPr="00421AB0">
        <w:rPr>
          <w:noProof/>
          <w:color w:val="000000"/>
        </w:rPr>
        <w:t>Обхват на подпомагането на равнище бенефициер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A42206" w:rsidTr="007D1796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1AB0" w:rsidRDefault="00421AB0" w:rsidP="00F47D26">
            <w:pPr>
              <w:spacing w:before="40" w:after="40"/>
              <w:jc w:val="both"/>
              <w:rPr>
                <w:noProof/>
              </w:rPr>
            </w:pPr>
            <w:r>
              <w:rPr>
                <w:noProof/>
              </w:rPr>
              <w:t>Запазването на духовния и културния живот на населението е от важно значение за развитието на</w:t>
            </w:r>
          </w:p>
          <w:p w:rsidR="00421AB0" w:rsidRDefault="00421AB0" w:rsidP="00F47D26">
            <w:pPr>
              <w:spacing w:before="40" w:after="40"/>
              <w:jc w:val="both"/>
              <w:rPr>
                <w:noProof/>
              </w:rPr>
            </w:pPr>
            <w:r>
              <w:rPr>
                <w:noProof/>
              </w:rPr>
              <w:t>селските райони. Културно-историческото развитие на България обуславя богато културно</w:t>
            </w:r>
          </w:p>
          <w:p w:rsidR="00421AB0" w:rsidRDefault="00421AB0" w:rsidP="00F47D26">
            <w:pPr>
              <w:spacing w:before="40" w:after="40"/>
              <w:jc w:val="both"/>
              <w:rPr>
                <w:noProof/>
              </w:rPr>
            </w:pPr>
            <w:r>
              <w:rPr>
                <w:noProof/>
              </w:rPr>
              <w:t>наследство, което се запазва и съхранява в различни обекти с религиозно значение, църкви,</w:t>
            </w:r>
          </w:p>
          <w:p w:rsidR="00421AB0" w:rsidRDefault="00421AB0" w:rsidP="00F47D26">
            <w:pPr>
              <w:spacing w:before="40" w:after="40"/>
              <w:jc w:val="both"/>
              <w:rPr>
                <w:noProof/>
              </w:rPr>
            </w:pPr>
            <w:r>
              <w:rPr>
                <w:noProof/>
              </w:rPr>
              <w:t>храмове и манастири. Предвидените по подмярката интервенции в този вид инфраструктура ще</w:t>
            </w:r>
          </w:p>
          <w:p w:rsidR="00421AB0" w:rsidRDefault="00421AB0" w:rsidP="00F47D26">
            <w:pPr>
              <w:spacing w:before="40" w:after="40"/>
              <w:jc w:val="both"/>
              <w:rPr>
                <w:noProof/>
              </w:rPr>
            </w:pPr>
            <w:r>
              <w:rPr>
                <w:noProof/>
              </w:rPr>
              <w:t>позволят да се запази културната идентичност и традиции в селските райони и да се повиши</w:t>
            </w:r>
          </w:p>
          <w:p w:rsidR="00421AB0" w:rsidRDefault="00421AB0" w:rsidP="00F47D26">
            <w:pPr>
              <w:spacing w:before="40" w:after="40"/>
              <w:jc w:val="both"/>
              <w:rPr>
                <w:noProof/>
              </w:rPr>
            </w:pPr>
            <w:r>
              <w:rPr>
                <w:noProof/>
              </w:rPr>
              <w:t>качеството на живот на хората, живеещи в тях. По същество регистрираните местни поделения на</w:t>
            </w:r>
          </w:p>
          <w:p w:rsidR="00421AB0" w:rsidRDefault="00421AB0" w:rsidP="00F47D26">
            <w:pPr>
              <w:spacing w:before="40" w:after="40"/>
              <w:jc w:val="both"/>
              <w:rPr>
                <w:noProof/>
              </w:rPr>
            </w:pPr>
            <w:r>
              <w:rPr>
                <w:noProof/>
              </w:rPr>
              <w:t>вероизповедания имат право за своите нужди да произвеждат и продават вещи, свързани с</w:t>
            </w:r>
          </w:p>
          <w:p w:rsidR="00421AB0" w:rsidRDefault="00421AB0" w:rsidP="00F47D26">
            <w:pPr>
              <w:spacing w:before="40" w:after="40"/>
              <w:jc w:val="both"/>
              <w:rPr>
                <w:noProof/>
              </w:rPr>
            </w:pPr>
            <w:r>
              <w:rPr>
                <w:noProof/>
              </w:rPr>
              <w:t>богослужебната им дейност, ритуали и обреди. Също така за покриване на своите нужди разчитат</w:t>
            </w:r>
          </w:p>
          <w:p w:rsidR="00421AB0" w:rsidRDefault="00421AB0" w:rsidP="00F47D26">
            <w:pPr>
              <w:spacing w:before="40" w:after="40"/>
              <w:jc w:val="both"/>
              <w:rPr>
                <w:noProof/>
              </w:rPr>
            </w:pPr>
            <w:r>
              <w:rPr>
                <w:noProof/>
              </w:rPr>
              <w:t>и на дарения. Съгласно българското законодателството, описаните не се считат за стопанска</w:t>
            </w:r>
          </w:p>
          <w:p w:rsidR="00421AB0" w:rsidRDefault="00421AB0" w:rsidP="00F47D26">
            <w:pPr>
              <w:spacing w:before="40" w:after="40"/>
              <w:jc w:val="both"/>
              <w:rPr>
                <w:noProof/>
              </w:rPr>
            </w:pPr>
            <w:r>
              <w:rPr>
                <w:noProof/>
              </w:rPr>
              <w:t>дейност и не представляват търговски сделки. В тази връзка тези постъпления не представляват</w:t>
            </w:r>
          </w:p>
          <w:p w:rsidR="00421AB0" w:rsidRDefault="00421AB0" w:rsidP="00F47D26">
            <w:pPr>
              <w:spacing w:before="40" w:after="40"/>
              <w:jc w:val="both"/>
              <w:rPr>
                <w:noProof/>
              </w:rPr>
            </w:pPr>
            <w:r>
              <w:rPr>
                <w:noProof/>
              </w:rPr>
              <w:t>дългосрочен и прогнозируем приход, които да бъде насочен за участие в съфинансиране на</w:t>
            </w:r>
          </w:p>
          <w:p w:rsidR="00421AB0" w:rsidRDefault="00421AB0" w:rsidP="00F47D26">
            <w:pPr>
              <w:spacing w:before="40" w:after="40"/>
              <w:jc w:val="both"/>
              <w:rPr>
                <w:noProof/>
              </w:rPr>
            </w:pPr>
            <w:r>
              <w:rPr>
                <w:noProof/>
              </w:rPr>
              <w:t>дейности по настоящата интервенция. Именно поради гореописаното, предоставянето на</w:t>
            </w:r>
          </w:p>
          <w:p w:rsidR="00A42206" w:rsidRDefault="00421AB0" w:rsidP="00F47D26">
            <w:pPr>
              <w:spacing w:before="40" w:after="40"/>
              <w:jc w:val="both"/>
            </w:pPr>
            <w:r>
              <w:rPr>
                <w:noProof/>
              </w:rPr>
              <w:t xml:space="preserve">подпомагане с прагове под 100% би поставило в големи затруднения или в невъзможност </w:t>
            </w:r>
            <w:r w:rsidR="00F47D26" w:rsidRPr="00F47D26">
              <w:rPr>
                <w:strike/>
                <w:noProof/>
                <w:lang w:val="bg-BG"/>
              </w:rPr>
              <w:t>местните поделения</w:t>
            </w:r>
            <w:r w:rsidR="00F47D26">
              <w:rPr>
                <w:noProof/>
                <w:lang w:val="bg-BG"/>
              </w:rPr>
              <w:t xml:space="preserve"> </w:t>
            </w:r>
            <w:r w:rsidR="007D1796" w:rsidRPr="00F47D26">
              <w:rPr>
                <w:noProof/>
                <w:color w:val="FF0000"/>
                <w:lang w:val="bg-BG"/>
              </w:rPr>
              <w:t>кандидатите</w:t>
            </w:r>
            <w:r>
              <w:rPr>
                <w:noProof/>
              </w:rPr>
              <w:t xml:space="preserve"> да покрият своите нужди от инвестиции.</w:t>
            </w:r>
          </w:p>
        </w:tc>
      </w:tr>
    </w:tbl>
    <w:p w:rsidR="00A42206" w:rsidRDefault="00421AB0" w:rsidP="00A42206">
      <w:pPr>
        <w:spacing w:before="20" w:after="20"/>
        <w:rPr>
          <w:color w:val="000000"/>
        </w:rPr>
      </w:pPr>
      <w:r w:rsidRPr="00421AB0">
        <w:rPr>
          <w:noProof/>
          <w:color w:val="000000"/>
        </w:rPr>
        <w:t>Допълнително обяснение</w:t>
      </w:r>
      <w:r w:rsidRPr="00421AB0">
        <w:rPr>
          <w:noProof/>
          <w:color w:val="000000"/>
        </w:rPr>
        <w:c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A42206" w:rsidTr="007D1796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42206" w:rsidRDefault="00421AB0" w:rsidP="007D1796">
            <w:pPr>
              <w:spacing w:before="20" w:after="20"/>
              <w:rPr>
                <w:color w:val="000000"/>
              </w:rPr>
            </w:pPr>
            <w:r w:rsidRPr="00421AB0">
              <w:rPr>
                <w:color w:val="000000"/>
                <w:lang w:val="bg-BG"/>
              </w:rPr>
              <w:t>В рамките на интервенцията е допустимо предоставянето на авансово плащане, в размер до 50% от</w:t>
            </w:r>
            <w:r w:rsidR="007D1796">
              <w:rPr>
                <w:color w:val="000000"/>
                <w:lang w:val="bg-BG"/>
              </w:rPr>
              <w:t xml:space="preserve"> </w:t>
            </w:r>
            <w:r w:rsidRPr="00421AB0">
              <w:rPr>
                <w:color w:val="000000"/>
                <w:lang w:val="bg-BG"/>
              </w:rPr>
              <w:t>стойността на одобрената финансова помощ по проектното предложение</w:t>
            </w:r>
            <w:r w:rsidR="007D1796">
              <w:rPr>
                <w:color w:val="000000"/>
                <w:lang w:val="bg-BG"/>
              </w:rPr>
              <w:t>.</w:t>
            </w:r>
          </w:p>
        </w:tc>
      </w:tr>
    </w:tbl>
    <w:p w:rsidR="00421AB0" w:rsidRPr="00421AB0" w:rsidRDefault="00A42206" w:rsidP="00421AB0">
      <w:pPr>
        <w:pStyle w:val="Heading5"/>
        <w:spacing w:before="20" w:after="20"/>
        <w:rPr>
          <w:noProof/>
          <w:color w:val="000000"/>
        </w:rPr>
      </w:pPr>
      <w:bookmarkStart w:id="9" w:name="_Toc256001292"/>
      <w:r>
        <w:rPr>
          <w:b w:val="0"/>
          <w:i w:val="0"/>
          <w:noProof/>
          <w:color w:val="000000"/>
          <w:sz w:val="24"/>
        </w:rPr>
        <w:t xml:space="preserve">8 </w:t>
      </w:r>
      <w:bookmarkEnd w:id="9"/>
      <w:r w:rsidR="00421AB0" w:rsidRPr="00421AB0">
        <w:rPr>
          <w:b w:val="0"/>
          <w:bCs w:val="0"/>
          <w:i w:val="0"/>
          <w:iCs w:val="0"/>
          <w:noProof/>
          <w:color w:val="000000"/>
          <w:sz w:val="24"/>
          <w:szCs w:val="24"/>
        </w:rPr>
        <w:t>Информация относно оценката за държавна помощ</w:t>
      </w:r>
    </w:p>
    <w:p w:rsidR="00421AB0" w:rsidRPr="00421AB0" w:rsidRDefault="00421AB0" w:rsidP="00421AB0">
      <w:pPr>
        <w:spacing w:before="20" w:after="20"/>
        <w:rPr>
          <w:noProof/>
          <w:color w:val="000000"/>
        </w:rPr>
      </w:pPr>
      <w:r w:rsidRPr="00421AB0">
        <w:rPr>
          <w:noProof/>
          <w:color w:val="000000"/>
        </w:rPr>
        <w:t>Интервенцията попада извън приложното поле на член 42 от ДФЕС и подлежи на оценка за</w:t>
      </w:r>
    </w:p>
    <w:p w:rsidR="00A42206" w:rsidRDefault="00421AB0" w:rsidP="00421AB0">
      <w:pPr>
        <w:spacing w:before="20" w:after="20"/>
        <w:rPr>
          <w:color w:val="000000"/>
        </w:rPr>
      </w:pPr>
      <w:r w:rsidRPr="00421AB0">
        <w:rPr>
          <w:noProof/>
          <w:color w:val="000000"/>
        </w:rPr>
        <w:t>държавна помощ:</w:t>
      </w:r>
    </w:p>
    <w:p w:rsidR="00A42206" w:rsidRDefault="00A42206" w:rsidP="00A42206">
      <w:pPr>
        <w:spacing w:before="20" w:after="20"/>
        <w:rPr>
          <w:color w:val="000000"/>
        </w:rPr>
      </w:pPr>
      <w:r>
        <w:rPr>
          <w:color w:val="000000"/>
        </w:rPr>
        <w:fldChar w:fldCharType="begin">
          <w:ffData>
            <w:name w:val="cb_RD_SAA_SCOPE_0"/>
            <w:enabled/>
            <w:calcOnExit w:val="0"/>
            <w:checkBox>
              <w:size w:val="24"/>
              <w:default w:val="0"/>
              <w:checked w:val="0"/>
            </w:checkBox>
          </w:ffData>
        </w:fldChar>
      </w:r>
      <w:r>
        <w:rPr>
          <w:noProof/>
          <w:color w:val="000000"/>
        </w:rPr>
        <w:instrText xml:space="preserve"> FORMCHECKBOX </w:instrText>
      </w:r>
      <w:r w:rsidR="009D0B6B">
        <w:rPr>
          <w:color w:val="000000"/>
        </w:rPr>
      </w:r>
      <w:r w:rsidR="009D0B6B">
        <w:rPr>
          <w:color w:val="000000"/>
        </w:rPr>
        <w:fldChar w:fldCharType="separate"/>
      </w:r>
      <w:r>
        <w:rPr>
          <w:color w:val="000000"/>
        </w:rPr>
        <w:fldChar w:fldCharType="end"/>
      </w:r>
      <w:r>
        <w:rPr>
          <w:noProof/>
          <w:color w:val="000000"/>
        </w:rPr>
        <w:t xml:space="preserve"> Да      </w:t>
      </w:r>
      <w:r>
        <w:rPr>
          <w:color w:val="000000"/>
        </w:rPr>
        <w:fldChar w:fldCharType="begin">
          <w:ffData>
            <w:name w:val="cb_RD_SAA_SCOPE_1"/>
            <w:enabled/>
            <w:calcOnExit w:val="0"/>
            <w:checkBox>
              <w:size w:val="24"/>
              <w:default w:val="1"/>
              <w:checked/>
            </w:checkBox>
          </w:ffData>
        </w:fldChar>
      </w:r>
      <w:r>
        <w:rPr>
          <w:noProof/>
          <w:color w:val="000000"/>
        </w:rPr>
        <w:instrText xml:space="preserve"> FORMCHECKBOX </w:instrText>
      </w:r>
      <w:r w:rsidR="009D0B6B">
        <w:rPr>
          <w:color w:val="000000"/>
        </w:rPr>
      </w:r>
      <w:r w:rsidR="009D0B6B">
        <w:rPr>
          <w:color w:val="000000"/>
        </w:rPr>
        <w:fldChar w:fldCharType="separate"/>
      </w:r>
      <w:r>
        <w:rPr>
          <w:color w:val="000000"/>
        </w:rPr>
        <w:fldChar w:fldCharType="end"/>
      </w:r>
      <w:r>
        <w:rPr>
          <w:noProof/>
          <w:color w:val="000000"/>
        </w:rPr>
        <w:t xml:space="preserve"> Не      </w:t>
      </w:r>
      <w:r>
        <w:rPr>
          <w:color w:val="000000"/>
        </w:rPr>
        <w:fldChar w:fldCharType="begin">
          <w:ffData>
            <w:name w:val="cb_RD_SAA_SCOPE_2"/>
            <w:enabled/>
            <w:calcOnExit w:val="0"/>
            <w:checkBox>
              <w:size w:val="24"/>
              <w:default w:val="0"/>
              <w:checked w:val="0"/>
            </w:checkBox>
          </w:ffData>
        </w:fldChar>
      </w:r>
      <w:r>
        <w:rPr>
          <w:noProof/>
          <w:color w:val="000000"/>
        </w:rPr>
        <w:instrText xml:space="preserve"> FORMCHECKBOX </w:instrText>
      </w:r>
      <w:r w:rsidR="009D0B6B">
        <w:rPr>
          <w:color w:val="000000"/>
        </w:rPr>
      </w:r>
      <w:r w:rsidR="009D0B6B">
        <w:rPr>
          <w:color w:val="000000"/>
        </w:rPr>
        <w:fldChar w:fldCharType="separate"/>
      </w:r>
      <w:r>
        <w:rPr>
          <w:color w:val="000000"/>
        </w:rPr>
        <w:fldChar w:fldCharType="end"/>
      </w:r>
      <w:r>
        <w:rPr>
          <w:noProof/>
          <w:color w:val="000000"/>
        </w:rPr>
        <w:t xml:space="preserve"> </w:t>
      </w:r>
      <w:r w:rsidR="00421AB0" w:rsidRPr="00421AB0">
        <w:rPr>
          <w:noProof/>
          <w:color w:val="000000"/>
        </w:rPr>
        <w:t>Смесено участие</w:t>
      </w:r>
    </w:p>
    <w:p w:rsidR="00421AB0" w:rsidRPr="00421AB0" w:rsidRDefault="00A42206" w:rsidP="00421AB0">
      <w:pPr>
        <w:pStyle w:val="Heading5"/>
        <w:spacing w:before="20" w:after="20"/>
        <w:rPr>
          <w:b w:val="0"/>
          <w:i w:val="0"/>
          <w:noProof/>
          <w:color w:val="000000"/>
          <w:sz w:val="24"/>
        </w:rPr>
      </w:pPr>
      <w:bookmarkStart w:id="10" w:name="_Toc256001293"/>
      <w:r>
        <w:rPr>
          <w:b w:val="0"/>
          <w:i w:val="0"/>
          <w:noProof/>
          <w:color w:val="000000"/>
          <w:sz w:val="24"/>
        </w:rPr>
        <w:t xml:space="preserve">9 </w:t>
      </w:r>
      <w:bookmarkEnd w:id="10"/>
      <w:r w:rsidR="00421AB0" w:rsidRPr="00421AB0">
        <w:rPr>
          <w:b w:val="0"/>
          <w:i w:val="0"/>
          <w:noProof/>
          <w:color w:val="000000"/>
          <w:sz w:val="24"/>
        </w:rPr>
        <w:t>Допълнителни въпроси/информация за вида на интервенцията</w:t>
      </w:r>
    </w:p>
    <w:p w:rsidR="00A42206" w:rsidRDefault="00421AB0" w:rsidP="00421AB0">
      <w:pPr>
        <w:pStyle w:val="Heading5"/>
        <w:spacing w:before="20" w:after="20"/>
        <w:rPr>
          <w:color w:val="000000"/>
        </w:rPr>
      </w:pPr>
      <w:r w:rsidRPr="00421AB0">
        <w:rPr>
          <w:b w:val="0"/>
          <w:i w:val="0"/>
          <w:noProof/>
          <w:color w:val="000000"/>
          <w:sz w:val="24"/>
        </w:rPr>
        <w:t>Какво не отговаря на условията за подпомагане?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A42206" w:rsidTr="007D1796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42206" w:rsidRDefault="00A42206" w:rsidP="007D1796">
            <w:pPr>
              <w:spacing w:before="40" w:after="40"/>
            </w:pPr>
            <w:r>
              <w:rPr>
                <w:noProof/>
                <w:color w:val="000000"/>
              </w:rPr>
              <w:t>В съответствие с чл. 73, параграф 3 от Регламент (ЕС) 2021/2115 на Европейския парламент и на Съвета от 2 декември 2021 година, не са допустимите за подпомагане инвестиции и категориите разходи, които включват:</w:t>
            </w:r>
          </w:p>
          <w:p w:rsidR="00A42206" w:rsidRDefault="00A42206" w:rsidP="007D1796">
            <w:pPr>
              <w:spacing w:before="40" w:after="40"/>
            </w:pPr>
            <w:r>
              <w:rPr>
                <w:noProof/>
                <w:color w:val="000000"/>
              </w:rPr>
              <w:t>1.   Закупуване или наем на земя и сгради;</w:t>
            </w:r>
          </w:p>
          <w:p w:rsidR="00A42206" w:rsidRDefault="00A42206" w:rsidP="007D1796">
            <w:pPr>
              <w:spacing w:before="40" w:after="40"/>
            </w:pPr>
            <w:r>
              <w:rPr>
                <w:noProof/>
                <w:color w:val="000000"/>
              </w:rPr>
              <w:t>2.   Разходи свързани със строителство/ново изграждане на сгради;</w:t>
            </w:r>
          </w:p>
          <w:p w:rsidR="00A42206" w:rsidRDefault="00A42206" w:rsidP="007D1796">
            <w:pPr>
              <w:spacing w:before="40" w:after="40"/>
            </w:pPr>
            <w:r>
              <w:rPr>
                <w:noProof/>
                <w:color w:val="000000"/>
              </w:rPr>
              <w:t>3.   Инвестиции, за които се установи, че ще имат отрицателно въздействие върху околната среда;</w:t>
            </w:r>
          </w:p>
          <w:p w:rsidR="00A42206" w:rsidRDefault="00A42206" w:rsidP="007D1796">
            <w:pPr>
              <w:spacing w:before="40" w:after="40"/>
            </w:pPr>
            <w:r>
              <w:rPr>
                <w:noProof/>
                <w:color w:val="000000"/>
              </w:rPr>
              <w:t>4.   Инвестиции, за които е установено двойно финансиране.</w:t>
            </w:r>
          </w:p>
          <w:p w:rsidR="00A42206" w:rsidRDefault="00A42206" w:rsidP="007D1796">
            <w:pPr>
              <w:spacing w:before="40" w:after="40"/>
            </w:pPr>
            <w:r>
              <w:rPr>
                <w:noProof/>
                <w:color w:val="000000"/>
              </w:rPr>
              <w:t>5.   Разходи по които дейностите включени в проектите, са били физически започнати и/или извършени преди подаване на проектното предложение за подпомагане, независимо дали всички свързани плащания са извършени (с изключение на разходи свързани с подготовката на проектното предложение извършени преди подаването му);</w:t>
            </w:r>
          </w:p>
        </w:tc>
      </w:tr>
    </w:tbl>
    <w:p w:rsidR="00A42206" w:rsidRDefault="00A42206" w:rsidP="00A42206">
      <w:pPr>
        <w:spacing w:before="20" w:after="20"/>
        <w:rPr>
          <w:color w:val="000000"/>
          <w:sz w:val="0"/>
        </w:rPr>
      </w:pPr>
    </w:p>
    <w:p w:rsidR="00A42206" w:rsidRDefault="00421AB0" w:rsidP="00A42206">
      <w:pPr>
        <w:spacing w:before="20" w:after="20"/>
        <w:rPr>
          <w:color w:val="000000"/>
        </w:rPr>
      </w:pPr>
      <w:r w:rsidRPr="00421AB0">
        <w:rPr>
          <w:noProof/>
          <w:color w:val="000000"/>
        </w:rPr>
        <w:t>Съдържа ли инвестицията напояване?</w:t>
      </w:r>
    </w:p>
    <w:p w:rsidR="00A42206" w:rsidRDefault="00A42206" w:rsidP="00A42206">
      <w:pPr>
        <w:spacing w:before="20" w:after="20"/>
        <w:rPr>
          <w:color w:val="000000"/>
        </w:rPr>
      </w:pPr>
      <w:r>
        <w:rPr>
          <w:color w:val="000000"/>
        </w:rPr>
        <w:fldChar w:fldCharType="begin">
          <w:ffData>
            <w:name w:val="cb_INVEST_0"/>
            <w:enabled/>
            <w:calcOnExit w:val="0"/>
            <w:checkBox>
              <w:size w:val="24"/>
              <w:default w:val="0"/>
              <w:checked w:val="0"/>
            </w:checkBox>
          </w:ffData>
        </w:fldChar>
      </w:r>
      <w:r>
        <w:rPr>
          <w:noProof/>
          <w:color w:val="000000"/>
        </w:rPr>
        <w:instrText xml:space="preserve"> FORMCHECKBOX </w:instrText>
      </w:r>
      <w:r w:rsidR="009D0B6B">
        <w:rPr>
          <w:color w:val="000000"/>
        </w:rPr>
      </w:r>
      <w:r w:rsidR="009D0B6B">
        <w:rPr>
          <w:color w:val="000000"/>
        </w:rPr>
        <w:fldChar w:fldCharType="separate"/>
      </w:r>
      <w:r>
        <w:rPr>
          <w:color w:val="000000"/>
        </w:rPr>
        <w:fldChar w:fldCharType="end"/>
      </w:r>
      <w:r>
        <w:rPr>
          <w:noProof/>
          <w:color w:val="000000"/>
        </w:rPr>
        <w:t xml:space="preserve"> Да      </w:t>
      </w:r>
      <w:r>
        <w:rPr>
          <w:color w:val="000000"/>
        </w:rPr>
        <w:fldChar w:fldCharType="begin">
          <w:ffData>
            <w:name w:val="cb_INVEST_1"/>
            <w:enabled/>
            <w:calcOnExit w:val="0"/>
            <w:checkBox>
              <w:size w:val="24"/>
              <w:default w:val="1"/>
              <w:checked/>
            </w:checkBox>
          </w:ffData>
        </w:fldChar>
      </w:r>
      <w:r>
        <w:rPr>
          <w:noProof/>
          <w:color w:val="000000"/>
        </w:rPr>
        <w:instrText xml:space="preserve"> FORMCHECKBOX </w:instrText>
      </w:r>
      <w:r w:rsidR="009D0B6B">
        <w:rPr>
          <w:color w:val="000000"/>
        </w:rPr>
      </w:r>
      <w:r w:rsidR="009D0B6B">
        <w:rPr>
          <w:color w:val="000000"/>
        </w:rPr>
        <w:fldChar w:fldCharType="separate"/>
      </w:r>
      <w:r>
        <w:rPr>
          <w:color w:val="000000"/>
        </w:rPr>
        <w:fldChar w:fldCharType="end"/>
      </w:r>
      <w:r>
        <w:rPr>
          <w:noProof/>
          <w:color w:val="000000"/>
        </w:rPr>
        <w:t xml:space="preserve"> Не      </w:t>
      </w:r>
    </w:p>
    <w:p w:rsidR="00A42206" w:rsidRDefault="00A42206" w:rsidP="00A42206">
      <w:pPr>
        <w:spacing w:before="20" w:after="20"/>
        <w:rPr>
          <w:color w:val="000000"/>
          <w:sz w:val="0"/>
        </w:rPr>
      </w:pPr>
    </w:p>
    <w:p w:rsidR="00421AB0" w:rsidRPr="00421AB0" w:rsidRDefault="00421AB0" w:rsidP="00421AB0">
      <w:pPr>
        <w:spacing w:before="20" w:after="20"/>
        <w:rPr>
          <w:noProof/>
          <w:color w:val="000000"/>
        </w:rPr>
      </w:pPr>
      <w:r w:rsidRPr="00421AB0">
        <w:rPr>
          <w:noProof/>
          <w:color w:val="000000"/>
        </w:rPr>
        <w:t>за инвестициите в подобряване на съществуващи напоителни инсталации — каква потенциална</w:t>
      </w:r>
    </w:p>
    <w:p w:rsidR="00A42206" w:rsidRDefault="00421AB0" w:rsidP="00421AB0">
      <w:pPr>
        <w:spacing w:before="20" w:after="20"/>
        <w:rPr>
          <w:color w:val="000000"/>
        </w:rPr>
      </w:pPr>
      <w:r w:rsidRPr="00421AB0">
        <w:rPr>
          <w:noProof/>
          <w:color w:val="000000"/>
        </w:rPr>
        <w:t>икономия на вода се изисква (изразена в проценти)</w:t>
      </w:r>
      <w:r w:rsidRPr="00421AB0">
        <w:rPr>
          <w:noProof/>
          <w:color w:val="000000"/>
        </w:rPr>
        <w:cr/>
        <w:t>Неприложимо</w:t>
      </w:r>
    </w:p>
    <w:p w:rsidR="00A42206" w:rsidRDefault="00A42206" w:rsidP="00A42206">
      <w:pPr>
        <w:spacing w:before="20" w:after="20"/>
        <w:rPr>
          <w:color w:val="000000"/>
          <w:sz w:val="0"/>
        </w:rPr>
      </w:pPr>
    </w:p>
    <w:p w:rsidR="00421AB0" w:rsidRPr="00421AB0" w:rsidRDefault="00421AB0" w:rsidP="00421AB0">
      <w:pPr>
        <w:spacing w:before="20" w:after="20"/>
        <w:rPr>
          <w:noProof/>
          <w:color w:val="000000"/>
        </w:rPr>
      </w:pPr>
      <w:r w:rsidRPr="00421AB0">
        <w:rPr>
          <w:noProof/>
          <w:color w:val="000000"/>
        </w:rPr>
        <w:t>Данни за различните възможни икономии на вода в зависимост от вида на инсталацията или</w:t>
      </w:r>
    </w:p>
    <w:p w:rsidR="00421AB0" w:rsidRDefault="00421AB0" w:rsidP="00421AB0">
      <w:pPr>
        <w:spacing w:before="20" w:after="20"/>
        <w:rPr>
          <w:noProof/>
          <w:color w:val="000000"/>
        </w:rPr>
      </w:pPr>
      <w:r w:rsidRPr="00421AB0">
        <w:rPr>
          <w:noProof/>
          <w:color w:val="000000"/>
        </w:rPr>
        <w:t>инфраструктурата (когато е приложимо)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40"/>
      </w:tblGrid>
      <w:tr w:rsidR="00421AB0" w:rsidTr="00421AB0">
        <w:tc>
          <w:tcPr>
            <w:tcW w:w="10466" w:type="dxa"/>
          </w:tcPr>
          <w:p w:rsidR="00421AB0" w:rsidRDefault="00421AB0" w:rsidP="00421AB0">
            <w:pPr>
              <w:spacing w:before="20" w:after="20"/>
              <w:rPr>
                <w:noProof/>
                <w:color w:val="000000"/>
              </w:rPr>
            </w:pPr>
          </w:p>
        </w:tc>
      </w:tr>
    </w:tbl>
    <w:p w:rsidR="00421AB0" w:rsidRPr="00421AB0" w:rsidRDefault="00421AB0" w:rsidP="00421AB0">
      <w:pPr>
        <w:spacing w:before="20" w:after="20"/>
        <w:rPr>
          <w:noProof/>
          <w:color w:val="000000"/>
        </w:rPr>
      </w:pPr>
    </w:p>
    <w:p w:rsidR="00421AB0" w:rsidRPr="00421AB0" w:rsidRDefault="00421AB0" w:rsidP="00421AB0">
      <w:pPr>
        <w:spacing w:before="20" w:after="20"/>
        <w:rPr>
          <w:noProof/>
          <w:color w:val="000000"/>
        </w:rPr>
      </w:pPr>
      <w:r w:rsidRPr="00421AB0">
        <w:rPr>
          <w:noProof/>
          <w:color w:val="000000"/>
        </w:rPr>
        <w:t>за инвестициите в подобряване на съществуващи напоителни инсталации (засягащи водни обекти,</w:t>
      </w:r>
    </w:p>
    <w:p w:rsidR="00421AB0" w:rsidRPr="00421AB0" w:rsidRDefault="00421AB0" w:rsidP="00421AB0">
      <w:pPr>
        <w:spacing w:before="20" w:after="20"/>
        <w:rPr>
          <w:noProof/>
          <w:color w:val="000000"/>
        </w:rPr>
      </w:pPr>
      <w:r w:rsidRPr="00421AB0">
        <w:rPr>
          <w:noProof/>
          <w:color w:val="000000"/>
        </w:rPr>
        <w:t>чието състояние попада в категория, по-ниска от „добро състояние“) — какви са изискванията за</w:t>
      </w:r>
    </w:p>
    <w:p w:rsidR="00421AB0" w:rsidRPr="00421AB0" w:rsidRDefault="00421AB0" w:rsidP="00421AB0">
      <w:pPr>
        <w:spacing w:before="20" w:after="20"/>
        <w:rPr>
          <w:noProof/>
          <w:color w:val="000000"/>
        </w:rPr>
      </w:pPr>
      <w:r w:rsidRPr="00421AB0">
        <w:rPr>
          <w:noProof/>
          <w:color w:val="000000"/>
        </w:rPr>
        <w:lastRenderedPageBreak/>
        <w:t>действително намаляване на потреблението на вода, изразено в проценти</w:t>
      </w:r>
    </w:p>
    <w:p w:rsidR="00421AB0" w:rsidRPr="00421AB0" w:rsidRDefault="00421AB0" w:rsidP="00421AB0">
      <w:pPr>
        <w:spacing w:before="20" w:after="20"/>
        <w:rPr>
          <w:noProof/>
          <w:color w:val="000000"/>
        </w:rPr>
      </w:pPr>
      <w:r w:rsidRPr="00421AB0">
        <w:rPr>
          <w:noProof/>
          <w:color w:val="000000"/>
        </w:rPr>
        <w:t>Неприложимо</w:t>
      </w:r>
    </w:p>
    <w:p w:rsidR="00A42206" w:rsidRDefault="00421AB0" w:rsidP="00421AB0">
      <w:pPr>
        <w:spacing w:before="20" w:after="20"/>
        <w:rPr>
          <w:color w:val="000000"/>
        </w:rPr>
      </w:pPr>
      <w:r w:rsidRPr="00421AB0">
        <w:rPr>
          <w:noProof/>
          <w:color w:val="000000"/>
        </w:rPr>
        <w:t>Регионална разбивка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40"/>
      </w:tblGrid>
      <w:tr w:rsidR="00421AB0" w:rsidTr="00421AB0">
        <w:tc>
          <w:tcPr>
            <w:tcW w:w="10466" w:type="dxa"/>
          </w:tcPr>
          <w:p w:rsidR="00421AB0" w:rsidRDefault="00421AB0" w:rsidP="00A42206">
            <w:pPr>
              <w:spacing w:before="20" w:after="20"/>
              <w:rPr>
                <w:color w:val="000000"/>
              </w:rPr>
            </w:pPr>
          </w:p>
        </w:tc>
      </w:tr>
    </w:tbl>
    <w:p w:rsidR="00A42206" w:rsidRDefault="00A42206" w:rsidP="00A42206">
      <w:pPr>
        <w:spacing w:before="20" w:after="20"/>
        <w:rPr>
          <w:color w:val="000000"/>
        </w:rPr>
      </w:pPr>
    </w:p>
    <w:p w:rsidR="00A42206" w:rsidRDefault="00A42206" w:rsidP="00A42206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11" w:name="_Toc256001294"/>
      <w:r>
        <w:rPr>
          <w:b w:val="0"/>
          <w:i w:val="0"/>
          <w:noProof/>
          <w:color w:val="000000"/>
          <w:sz w:val="24"/>
        </w:rPr>
        <w:t xml:space="preserve">10 </w:t>
      </w:r>
      <w:bookmarkEnd w:id="11"/>
      <w:r w:rsidR="00421AB0" w:rsidRPr="00421AB0">
        <w:rPr>
          <w:b w:val="0"/>
          <w:i w:val="0"/>
          <w:noProof/>
          <w:color w:val="000000"/>
          <w:sz w:val="24"/>
        </w:rPr>
        <w:t>Съответствие с правилата на СТО</w:t>
      </w:r>
    </w:p>
    <w:p w:rsidR="00A42206" w:rsidRDefault="00A42206" w:rsidP="00A42206">
      <w:pPr>
        <w:spacing w:before="20" w:after="20"/>
        <w:rPr>
          <w:color w:val="000000"/>
        </w:rPr>
      </w:pPr>
      <w:r>
        <w:rPr>
          <w:noProof/>
          <w:color w:val="000000"/>
        </w:rPr>
        <w:t xml:space="preserve"> Зелена кутия</w:t>
      </w:r>
    </w:p>
    <w:p w:rsidR="00A42206" w:rsidRDefault="00A42206" w:rsidP="00A42206">
      <w:pPr>
        <w:spacing w:before="20" w:after="20"/>
        <w:rPr>
          <w:color w:val="000000"/>
        </w:rPr>
      </w:pPr>
      <w:r>
        <w:rPr>
          <w:noProof/>
          <w:color w:val="000000"/>
        </w:rPr>
        <w:t>Параграф 11 от приложение 2 към СТО</w:t>
      </w:r>
    </w:p>
    <w:p w:rsidR="00A42206" w:rsidRDefault="00A42206" w:rsidP="00A42206">
      <w:pPr>
        <w:spacing w:before="20" w:after="20"/>
        <w:rPr>
          <w:color w:val="000000"/>
        </w:rPr>
      </w:pPr>
      <w:r>
        <w:rPr>
          <w:noProof/>
          <w:color w:val="000000"/>
        </w:rPr>
        <w:t>Разяснение как интервенцията спазва съответните разпоредби на приложение 2 към Споразумението за СТО за селското стопанство, както е посочено в член 10 от настоящия регламент и в приложение II към него(зелена кутия)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A42206" w:rsidTr="007D1796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21AB0" w:rsidRDefault="00421AB0" w:rsidP="00421AB0">
            <w:pPr>
              <w:spacing w:before="40" w:after="40"/>
              <w:rPr>
                <w:noProof/>
              </w:rPr>
            </w:pPr>
            <w:r>
              <w:rPr>
                <w:noProof/>
              </w:rPr>
              <w:t>Интервенцията е включена в приложение II на Регламент 2021/2115 НА ЕВРОПЕЙСКИЯ</w:t>
            </w:r>
          </w:p>
          <w:p w:rsidR="00421AB0" w:rsidRDefault="00281D9A" w:rsidP="00421AB0">
            <w:pPr>
              <w:spacing w:before="40" w:after="40"/>
              <w:rPr>
                <w:noProof/>
              </w:rPr>
            </w:pPr>
            <w:r>
              <w:rPr>
                <w:noProof/>
                <w:lang w:val="bg-BG"/>
              </w:rPr>
              <w:t>П</w:t>
            </w:r>
            <w:r w:rsidR="00421AB0">
              <w:rPr>
                <w:noProof/>
              </w:rPr>
              <w:t>АРЛАМЕНТ И НА СЪВЕТА от 2 декември 2021 година и е в съответствие с параграф 11 (2) от</w:t>
            </w:r>
          </w:p>
          <w:p w:rsidR="00421AB0" w:rsidRDefault="00421AB0" w:rsidP="00421AB0">
            <w:pPr>
              <w:spacing w:before="40" w:after="40"/>
              <w:rPr>
                <w:noProof/>
              </w:rPr>
            </w:pPr>
            <w:r>
              <w:rPr>
                <w:noProof/>
              </w:rPr>
              <w:t>приложение 2 към Споразумението за селското стопанство на СТО („зелена кутия“).</w:t>
            </w:r>
          </w:p>
          <w:p w:rsidR="00421AB0" w:rsidRDefault="00421AB0" w:rsidP="00421AB0">
            <w:pPr>
              <w:spacing w:before="40" w:after="40"/>
              <w:rPr>
                <w:noProof/>
              </w:rPr>
            </w:pPr>
            <w:r>
              <w:rPr>
                <w:noProof/>
              </w:rPr>
              <w:t xml:space="preserve">Интервенцията е с насоченост за развитието на селските райони и е изброена в Приложение II. </w:t>
            </w:r>
          </w:p>
          <w:p w:rsidR="00421AB0" w:rsidRDefault="00421AB0" w:rsidP="00421AB0">
            <w:pPr>
              <w:spacing w:before="40" w:after="40"/>
              <w:rPr>
                <w:noProof/>
              </w:rPr>
            </w:pPr>
            <w:r>
              <w:rPr>
                <w:noProof/>
              </w:rPr>
              <w:t>Както е посочено и в Инструмента за аспектите на СТО – X.1 изготвен от службите на Комисията,</w:t>
            </w:r>
          </w:p>
          <w:p w:rsidR="00421AB0" w:rsidRDefault="00421AB0" w:rsidP="00421AB0">
            <w:pPr>
              <w:spacing w:before="40" w:after="40"/>
              <w:rPr>
                <w:noProof/>
              </w:rPr>
            </w:pPr>
            <w:r>
              <w:rPr>
                <w:noProof/>
              </w:rPr>
              <w:t>„Интервенциите за развитие на селските райони (с изключение на инсталирането на млади</w:t>
            </w:r>
          </w:p>
          <w:p w:rsidR="00421AB0" w:rsidRDefault="00421AB0" w:rsidP="00421AB0">
            <w:pPr>
              <w:spacing w:before="40" w:after="40"/>
              <w:rPr>
                <w:noProof/>
              </w:rPr>
            </w:pPr>
            <w:r>
              <w:rPr>
                <w:noProof/>
              </w:rPr>
              <w:t>фермери и създаване на селски бизнес и програми за управление на риска) трябва да останат</w:t>
            </w:r>
          </w:p>
          <w:p w:rsidR="00A42206" w:rsidRDefault="00421AB0" w:rsidP="00421AB0">
            <w:pPr>
              <w:spacing w:before="40" w:after="40"/>
            </w:pPr>
            <w:r>
              <w:rPr>
                <w:noProof/>
              </w:rPr>
              <w:t>съвместими със Зелената кутия“.</w:t>
            </w:r>
          </w:p>
        </w:tc>
      </w:tr>
    </w:tbl>
    <w:p w:rsidR="00A42206" w:rsidRDefault="00A42206" w:rsidP="00A42206">
      <w:pPr>
        <w:pStyle w:val="Heading5"/>
        <w:spacing w:before="20" w:after="20"/>
        <w:rPr>
          <w:b w:val="0"/>
          <w:i w:val="0"/>
          <w:color w:val="000000"/>
          <w:sz w:val="24"/>
        </w:rPr>
      </w:pPr>
      <w:bookmarkStart w:id="12" w:name="_Toc256001295"/>
      <w:r>
        <w:rPr>
          <w:b w:val="0"/>
          <w:i w:val="0"/>
          <w:noProof/>
          <w:color w:val="000000"/>
          <w:sz w:val="24"/>
        </w:rPr>
        <w:t xml:space="preserve">11 </w:t>
      </w:r>
      <w:bookmarkEnd w:id="12"/>
      <w:r w:rsidR="00421AB0" w:rsidRPr="00421AB0">
        <w:rPr>
          <w:b w:val="0"/>
          <w:i w:val="0"/>
          <w:noProof/>
          <w:color w:val="000000"/>
          <w:sz w:val="24"/>
        </w:rPr>
        <w:t>Процентно участие, приложимо за тази интервенция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4236"/>
        <w:gridCol w:w="1850"/>
        <w:gridCol w:w="1153"/>
        <w:gridCol w:w="1198"/>
      </w:tblGrid>
      <w:tr w:rsidR="00A42206" w:rsidTr="007D1796">
        <w:trPr>
          <w:trHeight w:val="24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42206" w:rsidRDefault="00A42206" w:rsidP="007D1796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Region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42206" w:rsidRDefault="00A42206" w:rsidP="007D1796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Article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42206" w:rsidRDefault="00A42206" w:rsidP="007D1796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Applicable rate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42206" w:rsidRDefault="00A42206" w:rsidP="007D1796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Min Rate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Max Rate</w:t>
            </w:r>
          </w:p>
        </w:tc>
      </w:tr>
      <w:tr w:rsidR="00A42206" w:rsidTr="007D1796">
        <w:trPr>
          <w:trHeight w:val="24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BG - България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42206" w:rsidRDefault="00A42206" w:rsidP="007D1796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91(2)(a) - </w:t>
            </w:r>
            <w:r w:rsidR="00421AB0" w:rsidRPr="00421AB0">
              <w:rPr>
                <w:noProof/>
                <w:color w:val="000000"/>
                <w:sz w:val="20"/>
              </w:rPr>
              <w:t>По-слабо развити региони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42206" w:rsidRDefault="00A42206" w:rsidP="007D1796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42206" w:rsidRDefault="00A42206" w:rsidP="007D1796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20,00%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42206" w:rsidRDefault="00A42206" w:rsidP="007D1796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85,00%</w:t>
            </w:r>
          </w:p>
        </w:tc>
      </w:tr>
    </w:tbl>
    <w:p w:rsidR="00A42206" w:rsidRDefault="00A42206" w:rsidP="00A42206">
      <w:pPr>
        <w:spacing w:before="20" w:after="20"/>
        <w:rPr>
          <w:color w:val="000000"/>
        </w:rPr>
        <w:sectPr w:rsidR="00A42206">
          <w:pgSz w:w="11906" w:h="16838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C72E1A" w:rsidRDefault="00C72E1A" w:rsidP="008D4178">
      <w:pPr>
        <w:pStyle w:val="Heading5"/>
        <w:spacing w:before="20" w:after="20"/>
      </w:pPr>
    </w:p>
    <w:sectPr w:rsidR="00C72E1A" w:rsidSect="008D4178">
      <w:pgSz w:w="16838" w:h="11906" w:orient="landscape"/>
      <w:pgMar w:top="720" w:right="720" w:bottom="864" w:left="936" w:header="288" w:footer="72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25927"/>
    <w:multiLevelType w:val="hybridMultilevel"/>
    <w:tmpl w:val="5DF4DB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3DE"/>
    <w:rsid w:val="000568FB"/>
    <w:rsid w:val="00060705"/>
    <w:rsid w:val="00090ECF"/>
    <w:rsid w:val="000947B5"/>
    <w:rsid w:val="00183D24"/>
    <w:rsid w:val="00243EAE"/>
    <w:rsid w:val="00253D1E"/>
    <w:rsid w:val="002819C1"/>
    <w:rsid w:val="00281D9A"/>
    <w:rsid w:val="002E1184"/>
    <w:rsid w:val="002E6E71"/>
    <w:rsid w:val="00357BCD"/>
    <w:rsid w:val="003C63D0"/>
    <w:rsid w:val="003F73DE"/>
    <w:rsid w:val="00421AB0"/>
    <w:rsid w:val="00442A1C"/>
    <w:rsid w:val="00522DBC"/>
    <w:rsid w:val="00597842"/>
    <w:rsid w:val="006969FB"/>
    <w:rsid w:val="006A311B"/>
    <w:rsid w:val="006F045A"/>
    <w:rsid w:val="007D1796"/>
    <w:rsid w:val="00826E29"/>
    <w:rsid w:val="00864852"/>
    <w:rsid w:val="008A5C34"/>
    <w:rsid w:val="008D4178"/>
    <w:rsid w:val="00904B7F"/>
    <w:rsid w:val="0098282A"/>
    <w:rsid w:val="009D0B6B"/>
    <w:rsid w:val="00A206CE"/>
    <w:rsid w:val="00A42206"/>
    <w:rsid w:val="00A9370A"/>
    <w:rsid w:val="00AB5E1D"/>
    <w:rsid w:val="00C65137"/>
    <w:rsid w:val="00C72E1A"/>
    <w:rsid w:val="00CE3621"/>
    <w:rsid w:val="00DF7ABD"/>
    <w:rsid w:val="00E243F9"/>
    <w:rsid w:val="00EA373B"/>
    <w:rsid w:val="00F11ACE"/>
    <w:rsid w:val="00F250FC"/>
    <w:rsid w:val="00F47D26"/>
    <w:rsid w:val="00F94818"/>
    <w:rsid w:val="00FC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F9CB5"/>
  <w15:docId w15:val="{A02AB054-3FEC-4386-AB78-87CFA81AA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A4220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A4220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4220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A4220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A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A1C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421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7B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6E7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1AC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2245</Words>
  <Characters>12802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 Ilyov</dc:creator>
  <cp:keywords/>
  <dc:description/>
  <cp:lastModifiedBy>Elena A. Ivanova</cp:lastModifiedBy>
  <cp:revision>3</cp:revision>
  <cp:lastPrinted>2025-08-20T09:13:00Z</cp:lastPrinted>
  <dcterms:created xsi:type="dcterms:W3CDTF">2025-08-20T09:13:00Z</dcterms:created>
  <dcterms:modified xsi:type="dcterms:W3CDTF">2025-08-20T13:50:00Z</dcterms:modified>
</cp:coreProperties>
</file>